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73B6" w14:textId="77777777" w:rsidR="00AA6AC1" w:rsidRDefault="00506265" w:rsidP="00506265">
      <w:pPr>
        <w:rPr>
          <w:rFonts w:ascii="Avenir Book" w:hAnsi="Avenir Book"/>
          <w:b/>
          <w:sz w:val="22"/>
          <w:szCs w:val="22"/>
        </w:rPr>
      </w:pPr>
      <w:r>
        <w:rPr>
          <w:rFonts w:ascii="Avenir Book" w:hAnsi="Avenir Book"/>
          <w:b/>
          <w:sz w:val="22"/>
          <w:szCs w:val="22"/>
        </w:rPr>
        <w:t xml:space="preserve">When Shrines Grow Tired: Caring for Cultural Artefacts </w:t>
      </w:r>
    </w:p>
    <w:p w14:paraId="08C24163" w14:textId="77777777" w:rsidR="002573B3" w:rsidRDefault="00DD4E94" w:rsidP="00042FD1">
      <w:pPr>
        <w:rPr>
          <w:rFonts w:ascii="Avenir Book" w:hAnsi="Avenir Book"/>
          <w:b/>
          <w:sz w:val="22"/>
          <w:szCs w:val="22"/>
        </w:rPr>
      </w:pPr>
      <w:r>
        <w:rPr>
          <w:rFonts w:ascii="Avenir Book" w:hAnsi="Avenir Book"/>
          <w:b/>
          <w:sz w:val="22"/>
          <w:szCs w:val="22"/>
        </w:rPr>
        <w:t>in the Pre</w:t>
      </w:r>
      <w:r w:rsidR="00506265">
        <w:rPr>
          <w:rFonts w:ascii="Avenir Book" w:hAnsi="Avenir Book"/>
          <w:b/>
          <w:sz w:val="22"/>
          <w:szCs w:val="22"/>
        </w:rPr>
        <w:t xml:space="preserve">modern World </w:t>
      </w:r>
    </w:p>
    <w:p w14:paraId="785D5762" w14:textId="46015192" w:rsidR="00042FD1" w:rsidRDefault="00042FD1" w:rsidP="00042FD1">
      <w:pPr>
        <w:rPr>
          <w:rFonts w:ascii="Avenir Book" w:hAnsi="Avenir Book"/>
          <w:sz w:val="22"/>
          <w:szCs w:val="22"/>
        </w:rPr>
      </w:pPr>
      <w:r>
        <w:rPr>
          <w:rFonts w:ascii="Avenir Book" w:hAnsi="Avenir Book"/>
          <w:sz w:val="22"/>
          <w:szCs w:val="22"/>
        </w:rPr>
        <w:t>(</w:t>
      </w:r>
      <w:r w:rsidRPr="002573B3">
        <w:rPr>
          <w:rFonts w:ascii="Avenir Book" w:hAnsi="Avenir Book"/>
          <w:sz w:val="22"/>
          <w:szCs w:val="22"/>
          <w:u w:val="single"/>
        </w:rPr>
        <w:t>not for further circulation or citation</w:t>
      </w:r>
      <w:r w:rsidR="00C753D7">
        <w:rPr>
          <w:rFonts w:ascii="Avenir Book" w:hAnsi="Avenir Book"/>
          <w:sz w:val="22"/>
          <w:szCs w:val="22"/>
          <w:u w:val="single"/>
        </w:rPr>
        <w:t xml:space="preserve"> without author’s perm</w:t>
      </w:r>
      <w:bookmarkStart w:id="0" w:name="_GoBack"/>
      <w:bookmarkEnd w:id="0"/>
      <w:r w:rsidR="002573B3">
        <w:rPr>
          <w:rFonts w:ascii="Avenir Book" w:hAnsi="Avenir Book"/>
          <w:sz w:val="22"/>
          <w:szCs w:val="22"/>
          <w:u w:val="single"/>
        </w:rPr>
        <w:t>ission</w:t>
      </w:r>
      <w:r>
        <w:rPr>
          <w:rFonts w:ascii="Avenir Book" w:hAnsi="Avenir Book"/>
          <w:sz w:val="22"/>
          <w:szCs w:val="22"/>
        </w:rPr>
        <w:t xml:space="preserve">)  </w:t>
      </w:r>
    </w:p>
    <w:p w14:paraId="5CD3332E" w14:textId="57C5D546" w:rsidR="00506265" w:rsidRDefault="00506265" w:rsidP="00506265">
      <w:pPr>
        <w:rPr>
          <w:rFonts w:ascii="Avenir Book" w:hAnsi="Avenir Book"/>
          <w:b/>
          <w:sz w:val="22"/>
          <w:szCs w:val="22"/>
        </w:rPr>
      </w:pPr>
    </w:p>
    <w:p w14:paraId="3F826FC7" w14:textId="1ED6E16F" w:rsidR="00506265" w:rsidRPr="009A4148" w:rsidRDefault="00506265" w:rsidP="00506265">
      <w:pPr>
        <w:rPr>
          <w:rFonts w:ascii="Avenir Book" w:hAnsi="Avenir Book"/>
          <w:b/>
          <w:sz w:val="22"/>
          <w:szCs w:val="22"/>
        </w:rPr>
      </w:pPr>
      <w:r w:rsidRPr="00506265">
        <w:rPr>
          <w:rFonts w:ascii="Avenir Book" w:hAnsi="Avenir Book"/>
          <w:sz w:val="22"/>
          <w:szCs w:val="22"/>
        </w:rPr>
        <w:t>Maurizio Peleggi, Weinberg Fellow</w:t>
      </w:r>
      <w:r w:rsidR="00FF6E7F">
        <w:rPr>
          <w:rFonts w:ascii="Avenir Book" w:hAnsi="Avenir Book"/>
          <w:sz w:val="22"/>
          <w:szCs w:val="22"/>
        </w:rPr>
        <w:t xml:space="preserve">, The Italian Academy, 2018/19, </w:t>
      </w:r>
      <w:r w:rsidRPr="00506265">
        <w:rPr>
          <w:rFonts w:ascii="Avenir Book" w:hAnsi="Avenir Book"/>
          <w:sz w:val="22"/>
          <w:szCs w:val="22"/>
        </w:rPr>
        <w:t>Spring Semester</w:t>
      </w:r>
    </w:p>
    <w:p w14:paraId="47B90112" w14:textId="77777777" w:rsidR="00506265" w:rsidRDefault="00506265" w:rsidP="00506265">
      <w:pPr>
        <w:ind w:left="3600"/>
        <w:rPr>
          <w:rFonts w:ascii="Avenir Book" w:hAnsi="Avenir Book"/>
          <w:i/>
          <w:sz w:val="22"/>
          <w:szCs w:val="22"/>
        </w:rPr>
      </w:pPr>
    </w:p>
    <w:p w14:paraId="04DB04C0" w14:textId="77777777" w:rsidR="00AA6AC1" w:rsidRDefault="00AA6AC1" w:rsidP="00506265">
      <w:pPr>
        <w:ind w:left="3600"/>
        <w:rPr>
          <w:rFonts w:ascii="Avenir Book" w:hAnsi="Avenir Book"/>
          <w:i/>
          <w:sz w:val="20"/>
          <w:szCs w:val="20"/>
        </w:rPr>
      </w:pPr>
    </w:p>
    <w:p w14:paraId="4F73638B" w14:textId="77777777" w:rsidR="002573B3" w:rsidRDefault="002573B3" w:rsidP="00506265">
      <w:pPr>
        <w:ind w:left="3600"/>
        <w:rPr>
          <w:rFonts w:ascii="Avenir Book" w:hAnsi="Avenir Book"/>
          <w:i/>
          <w:sz w:val="20"/>
          <w:szCs w:val="20"/>
        </w:rPr>
      </w:pPr>
    </w:p>
    <w:p w14:paraId="1F6ADB85"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You see that stones are worn away by time</w:t>
      </w:r>
    </w:p>
    <w:p w14:paraId="617437D5"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Rocks rot and towers topple. Even the shrines</w:t>
      </w:r>
    </w:p>
    <w:p w14:paraId="428EE143"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And images of the gods grow very tired</w:t>
      </w:r>
    </w:p>
    <w:p w14:paraId="7E649CFB"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Develop cracks or wrinkles, their holy wills</w:t>
      </w:r>
    </w:p>
    <w:p w14:paraId="74E73A9F"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Unable to extend their fated term</w:t>
      </w:r>
    </w:p>
    <w:p w14:paraId="65C0E643"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To litigate against the laws of nature.</w:t>
      </w:r>
    </w:p>
    <w:p w14:paraId="344E85F6"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And don’t we see the monuments of men</w:t>
      </w:r>
    </w:p>
    <w:p w14:paraId="4375FE3E" w14:textId="77777777" w:rsidR="00506265" w:rsidRPr="00506265" w:rsidRDefault="00506265" w:rsidP="00506265">
      <w:pPr>
        <w:ind w:left="3600"/>
        <w:rPr>
          <w:rFonts w:ascii="Avenir Book" w:hAnsi="Avenir Book"/>
          <w:i/>
          <w:sz w:val="20"/>
          <w:szCs w:val="20"/>
        </w:rPr>
      </w:pPr>
      <w:r w:rsidRPr="00506265">
        <w:rPr>
          <w:rFonts w:ascii="Avenir Book" w:hAnsi="Avenir Book"/>
          <w:i/>
          <w:sz w:val="20"/>
          <w:szCs w:val="20"/>
        </w:rPr>
        <w:t>Collapse, as if to ask us: ‘Are not we</w:t>
      </w:r>
    </w:p>
    <w:p w14:paraId="230FEB9F" w14:textId="4F4B3997" w:rsidR="000C25E1" w:rsidRDefault="00506265" w:rsidP="00506265">
      <w:pPr>
        <w:ind w:left="3600"/>
        <w:rPr>
          <w:rFonts w:ascii="Avenir Book" w:hAnsi="Avenir Book"/>
          <w:i/>
          <w:sz w:val="20"/>
          <w:szCs w:val="20"/>
        </w:rPr>
      </w:pPr>
      <w:r w:rsidRPr="00506265">
        <w:rPr>
          <w:rFonts w:ascii="Avenir Book" w:hAnsi="Avenir Book"/>
          <w:i/>
          <w:sz w:val="20"/>
          <w:szCs w:val="20"/>
        </w:rPr>
        <w:t>As frail as those whom we commemorate?’</w:t>
      </w:r>
      <w:r w:rsidR="0016764F" w:rsidRPr="0016764F">
        <w:rPr>
          <w:rStyle w:val="FootnoteReference"/>
          <w:rFonts w:ascii="Avenir Book" w:hAnsi="Avenir Book"/>
          <w:sz w:val="22"/>
          <w:szCs w:val="22"/>
        </w:rPr>
        <w:t xml:space="preserve"> </w:t>
      </w:r>
      <w:r w:rsidR="0016764F" w:rsidRPr="005035CD">
        <w:rPr>
          <w:rStyle w:val="FootnoteReference"/>
          <w:rFonts w:ascii="Avenir Book" w:hAnsi="Avenir Book"/>
          <w:sz w:val="22"/>
          <w:szCs w:val="22"/>
        </w:rPr>
        <w:footnoteReference w:id="1"/>
      </w:r>
      <w:r w:rsidR="0016764F" w:rsidRPr="005035CD">
        <w:rPr>
          <w:rFonts w:ascii="Avenir Book" w:hAnsi="Avenir Book"/>
          <w:sz w:val="22"/>
          <w:szCs w:val="22"/>
        </w:rPr>
        <w:t xml:space="preserve"> </w:t>
      </w:r>
      <w:r w:rsidRPr="00506265">
        <w:rPr>
          <w:rFonts w:ascii="Avenir Book" w:hAnsi="Avenir Book"/>
          <w:i/>
          <w:sz w:val="20"/>
          <w:szCs w:val="20"/>
        </w:rPr>
        <w:t xml:space="preserve"> </w:t>
      </w:r>
    </w:p>
    <w:p w14:paraId="0088E228" w14:textId="77777777" w:rsidR="000C25E1" w:rsidRDefault="000C25E1" w:rsidP="00506265">
      <w:pPr>
        <w:ind w:left="3600"/>
        <w:rPr>
          <w:rFonts w:ascii="Avenir Book" w:hAnsi="Avenir Book"/>
          <w:i/>
          <w:sz w:val="20"/>
          <w:szCs w:val="20"/>
        </w:rPr>
      </w:pPr>
    </w:p>
    <w:p w14:paraId="20A75C21" w14:textId="2D309E11" w:rsidR="00506265" w:rsidRPr="00506265" w:rsidRDefault="000C25E1" w:rsidP="00506265">
      <w:pPr>
        <w:ind w:left="3600"/>
        <w:rPr>
          <w:rFonts w:ascii="Avenir Book" w:hAnsi="Avenir Book"/>
          <w:i/>
          <w:sz w:val="20"/>
          <w:szCs w:val="20"/>
        </w:rPr>
      </w:pPr>
      <w:r>
        <w:rPr>
          <w:rFonts w:ascii="Avenir Book" w:hAnsi="Avenir Book"/>
          <w:i/>
          <w:sz w:val="20"/>
          <w:szCs w:val="20"/>
        </w:rPr>
        <w:t>They went to search for old broken statues of the Buddha to worship. They brought them there to piece</w:t>
      </w:r>
      <w:r w:rsidR="00953930">
        <w:rPr>
          <w:rFonts w:ascii="Avenir Book" w:hAnsi="Avenir Book"/>
          <w:i/>
          <w:sz w:val="20"/>
          <w:szCs w:val="20"/>
        </w:rPr>
        <w:t xml:space="preserve"> together and repair with mortar,</w:t>
      </w:r>
      <w:r>
        <w:rPr>
          <w:rFonts w:ascii="Avenir Book" w:hAnsi="Avenir Book"/>
          <w:i/>
          <w:sz w:val="20"/>
          <w:szCs w:val="20"/>
        </w:rPr>
        <w:t xml:space="preserve"> to mend and restore into large, fresh-looking and exceedingly beautiful</w:t>
      </w:r>
      <w:r w:rsidR="00953930">
        <w:rPr>
          <w:rFonts w:ascii="Avenir Book" w:hAnsi="Avenir Book"/>
          <w:i/>
          <w:sz w:val="20"/>
          <w:szCs w:val="20"/>
        </w:rPr>
        <w:t xml:space="preserve"> statue</w:t>
      </w:r>
      <w:r>
        <w:rPr>
          <w:rFonts w:ascii="Avenir Book" w:hAnsi="Avenir Book"/>
          <w:i/>
          <w:sz w:val="20"/>
          <w:szCs w:val="20"/>
        </w:rPr>
        <w:t>s</w:t>
      </w:r>
      <w:r w:rsidR="00953930">
        <w:rPr>
          <w:rFonts w:ascii="Avenir Book" w:hAnsi="Avenir Book"/>
          <w:i/>
          <w:sz w:val="20"/>
          <w:szCs w:val="20"/>
        </w:rPr>
        <w:t xml:space="preserve"> of the Buddha</w:t>
      </w:r>
      <w:r>
        <w:rPr>
          <w:rFonts w:ascii="Avenir Book" w:hAnsi="Avenir Book"/>
          <w:i/>
          <w:sz w:val="20"/>
          <w:szCs w:val="20"/>
        </w:rPr>
        <w:t>. (</w:t>
      </w:r>
      <w:r w:rsidR="005D4A69">
        <w:rPr>
          <w:rFonts w:ascii="Avenir Book" w:hAnsi="Avenir Book"/>
          <w:i/>
          <w:sz w:val="20"/>
          <w:szCs w:val="20"/>
        </w:rPr>
        <w:t xml:space="preserve">Inscription no. 2 from Sukhothai, Thailand, </w:t>
      </w:r>
      <w:r w:rsidR="00953930">
        <w:rPr>
          <w:rFonts w:ascii="Avenir Book" w:hAnsi="Avenir Book"/>
          <w:i/>
          <w:sz w:val="20"/>
          <w:szCs w:val="20"/>
        </w:rPr>
        <w:t>mid-fourteenth century</w:t>
      </w:r>
      <w:r>
        <w:rPr>
          <w:rFonts w:ascii="Avenir Book" w:hAnsi="Avenir Book"/>
          <w:i/>
          <w:sz w:val="20"/>
          <w:szCs w:val="20"/>
        </w:rPr>
        <w:t>)</w:t>
      </w:r>
      <w:r w:rsidR="0016764F" w:rsidRPr="0016764F">
        <w:rPr>
          <w:rStyle w:val="FootnoteReference"/>
          <w:rFonts w:ascii="Avenir Book" w:hAnsi="Avenir Book"/>
          <w:sz w:val="22"/>
          <w:szCs w:val="22"/>
        </w:rPr>
        <w:t xml:space="preserve"> </w:t>
      </w:r>
      <w:r w:rsidR="0016764F">
        <w:rPr>
          <w:rStyle w:val="FootnoteReference"/>
          <w:rFonts w:ascii="Avenir Book" w:hAnsi="Avenir Book"/>
          <w:sz w:val="22"/>
          <w:szCs w:val="22"/>
        </w:rPr>
        <w:footnoteReference w:id="2"/>
      </w:r>
    </w:p>
    <w:p w14:paraId="4F861C07" w14:textId="77777777" w:rsidR="00506265" w:rsidRPr="009A4148" w:rsidRDefault="00506265" w:rsidP="00506265">
      <w:pPr>
        <w:rPr>
          <w:rFonts w:ascii="Avenir Book" w:hAnsi="Avenir Book"/>
          <w:sz w:val="22"/>
          <w:szCs w:val="22"/>
        </w:rPr>
      </w:pPr>
    </w:p>
    <w:p w14:paraId="588E70E4" w14:textId="396454FA" w:rsidR="00506265" w:rsidRDefault="001A7265" w:rsidP="00953930">
      <w:pPr>
        <w:rPr>
          <w:rFonts w:ascii="Avenir Book" w:hAnsi="Avenir Book"/>
          <w:sz w:val="22"/>
          <w:szCs w:val="22"/>
        </w:rPr>
      </w:pPr>
      <w:r>
        <w:rPr>
          <w:rFonts w:ascii="Avenir Book" w:hAnsi="Avenir Book"/>
          <w:sz w:val="22"/>
          <w:szCs w:val="22"/>
        </w:rPr>
        <w:t>Any meditation</w:t>
      </w:r>
      <w:r w:rsidR="00AA6AC1">
        <w:rPr>
          <w:rFonts w:ascii="Avenir Book" w:hAnsi="Avenir Book"/>
          <w:sz w:val="22"/>
          <w:szCs w:val="22"/>
        </w:rPr>
        <w:t xml:space="preserve"> on ruins, reminds us Marc Augé</w:t>
      </w:r>
      <w:r>
        <w:rPr>
          <w:rFonts w:ascii="Avenir Book" w:hAnsi="Avenir Book"/>
          <w:sz w:val="22"/>
          <w:szCs w:val="22"/>
        </w:rPr>
        <w:t>,</w:t>
      </w:r>
      <w:r w:rsidR="00AA6AC1">
        <w:rPr>
          <w:rStyle w:val="FootnoteReference"/>
          <w:rFonts w:ascii="Avenir Book" w:hAnsi="Avenir Book"/>
          <w:sz w:val="22"/>
          <w:szCs w:val="22"/>
        </w:rPr>
        <w:footnoteReference w:id="3"/>
      </w:r>
      <w:r>
        <w:rPr>
          <w:rFonts w:ascii="Avenir Book" w:hAnsi="Avenir Book"/>
          <w:sz w:val="22"/>
          <w:szCs w:val="22"/>
        </w:rPr>
        <w:t xml:space="preserve"> is </w:t>
      </w:r>
      <w:r w:rsidR="000C25E1">
        <w:rPr>
          <w:rFonts w:ascii="Avenir Book" w:hAnsi="Avenir Book"/>
          <w:sz w:val="22"/>
          <w:szCs w:val="22"/>
        </w:rPr>
        <w:t xml:space="preserve">also a meditation on time. In </w:t>
      </w:r>
      <w:r w:rsidR="00506265" w:rsidRPr="009A4148">
        <w:rPr>
          <w:rFonts w:ascii="Avenir Book" w:hAnsi="Avenir Book"/>
          <w:sz w:val="22"/>
          <w:szCs w:val="22"/>
        </w:rPr>
        <w:t xml:space="preserve">Book V of his </w:t>
      </w:r>
      <w:r w:rsidR="00506265" w:rsidRPr="009A4148">
        <w:rPr>
          <w:rFonts w:ascii="Avenir Book" w:hAnsi="Avenir Book"/>
          <w:i/>
          <w:sz w:val="22"/>
          <w:szCs w:val="22"/>
        </w:rPr>
        <w:t>De rerum naturae</w:t>
      </w:r>
      <w:r w:rsidR="00506265" w:rsidRPr="009A4148">
        <w:rPr>
          <w:rFonts w:ascii="Avenir Book" w:hAnsi="Avenir Book"/>
          <w:sz w:val="22"/>
          <w:szCs w:val="22"/>
        </w:rPr>
        <w:t xml:space="preserve"> (</w:t>
      </w:r>
      <w:r w:rsidR="00506265" w:rsidRPr="009A4148">
        <w:rPr>
          <w:rFonts w:ascii="Avenir Book" w:hAnsi="Avenir Book"/>
          <w:i/>
          <w:sz w:val="22"/>
          <w:szCs w:val="22"/>
        </w:rPr>
        <w:t>On the Nature of Things</w:t>
      </w:r>
      <w:r w:rsidR="00506265" w:rsidRPr="009A4148">
        <w:rPr>
          <w:rFonts w:ascii="Avenir Book" w:hAnsi="Avenir Book"/>
          <w:sz w:val="22"/>
          <w:szCs w:val="22"/>
        </w:rPr>
        <w:t>),</w:t>
      </w:r>
      <w:r w:rsidR="00506265" w:rsidRPr="005035CD">
        <w:rPr>
          <w:rFonts w:ascii="Avenir Book" w:hAnsi="Avenir Book"/>
          <w:sz w:val="22"/>
          <w:szCs w:val="22"/>
        </w:rPr>
        <w:t xml:space="preserve"> </w:t>
      </w:r>
      <w:r w:rsidR="000C25E1" w:rsidRPr="009A4148">
        <w:rPr>
          <w:rFonts w:ascii="Avenir Book" w:hAnsi="Avenir Book"/>
          <w:sz w:val="22"/>
          <w:szCs w:val="22"/>
        </w:rPr>
        <w:t>Lucre</w:t>
      </w:r>
      <w:r w:rsidR="000C25E1">
        <w:rPr>
          <w:rFonts w:ascii="Avenir Book" w:hAnsi="Avenir Book"/>
          <w:sz w:val="22"/>
          <w:szCs w:val="22"/>
        </w:rPr>
        <w:t>tius</w:t>
      </w:r>
      <w:r w:rsidR="000C25E1" w:rsidRPr="009A4148">
        <w:rPr>
          <w:rFonts w:ascii="Avenir Book" w:hAnsi="Avenir Book"/>
          <w:sz w:val="22"/>
          <w:szCs w:val="22"/>
        </w:rPr>
        <w:t xml:space="preserve"> </w:t>
      </w:r>
      <w:r w:rsidR="000C25E1">
        <w:rPr>
          <w:rFonts w:ascii="Avenir Book" w:hAnsi="Avenir Book"/>
          <w:sz w:val="22"/>
          <w:szCs w:val="22"/>
        </w:rPr>
        <w:t xml:space="preserve">articulated </w:t>
      </w:r>
      <w:r w:rsidR="00506265" w:rsidRPr="009A4148">
        <w:rPr>
          <w:rFonts w:ascii="Avenir Book" w:hAnsi="Avenir Book"/>
          <w:sz w:val="22"/>
          <w:szCs w:val="22"/>
        </w:rPr>
        <w:t xml:space="preserve">the </w:t>
      </w:r>
      <w:r w:rsidR="00FB5F53">
        <w:rPr>
          <w:rFonts w:ascii="Avenir Book" w:hAnsi="Avenir Book"/>
          <w:sz w:val="22"/>
          <w:szCs w:val="22"/>
        </w:rPr>
        <w:t>dive</w:t>
      </w:r>
      <w:r w:rsidR="00953930">
        <w:rPr>
          <w:rFonts w:ascii="Avenir Book" w:hAnsi="Avenir Book"/>
          <w:sz w:val="22"/>
          <w:szCs w:val="22"/>
        </w:rPr>
        <w:t>r</w:t>
      </w:r>
      <w:r w:rsidR="00FB5F53">
        <w:rPr>
          <w:rFonts w:ascii="Avenir Book" w:hAnsi="Avenir Book"/>
          <w:sz w:val="22"/>
          <w:szCs w:val="22"/>
        </w:rPr>
        <w:t>genc</w:t>
      </w:r>
      <w:r w:rsidR="00953930">
        <w:rPr>
          <w:rFonts w:ascii="Avenir Book" w:hAnsi="Avenir Book"/>
          <w:sz w:val="22"/>
          <w:szCs w:val="22"/>
        </w:rPr>
        <w:t xml:space="preserve">e </w:t>
      </w:r>
      <w:r w:rsidR="00506265" w:rsidRPr="009A4148">
        <w:rPr>
          <w:rFonts w:ascii="Avenir Book" w:hAnsi="Avenir Book"/>
          <w:sz w:val="22"/>
          <w:szCs w:val="22"/>
        </w:rPr>
        <w:t xml:space="preserve">between the eternal </w:t>
      </w:r>
      <w:r w:rsidR="00506265">
        <w:rPr>
          <w:rFonts w:ascii="Avenir Book" w:hAnsi="Avenir Book"/>
          <w:sz w:val="22"/>
          <w:szCs w:val="22"/>
        </w:rPr>
        <w:t>aspira</w:t>
      </w:r>
      <w:r w:rsidR="00506265" w:rsidRPr="009A4148">
        <w:rPr>
          <w:rFonts w:ascii="Avenir Book" w:hAnsi="Avenir Book"/>
          <w:sz w:val="22"/>
          <w:szCs w:val="22"/>
        </w:rPr>
        <w:t xml:space="preserve">tion and the impermanent constitution of </w:t>
      </w:r>
      <w:r w:rsidR="00506265">
        <w:rPr>
          <w:rFonts w:ascii="Avenir Book" w:hAnsi="Avenir Book"/>
          <w:sz w:val="22"/>
          <w:szCs w:val="22"/>
        </w:rPr>
        <w:t xml:space="preserve">statues and shrines </w:t>
      </w:r>
      <w:r w:rsidR="00506265" w:rsidRPr="009A4148">
        <w:rPr>
          <w:rFonts w:ascii="Avenir Book" w:hAnsi="Avenir Book"/>
          <w:sz w:val="22"/>
          <w:szCs w:val="22"/>
        </w:rPr>
        <w:t>honour</w:t>
      </w:r>
      <w:r w:rsidR="00506265">
        <w:rPr>
          <w:rFonts w:ascii="Avenir Book" w:hAnsi="Avenir Book"/>
          <w:sz w:val="22"/>
          <w:szCs w:val="22"/>
        </w:rPr>
        <w:t>ing</w:t>
      </w:r>
      <w:r w:rsidR="00506265" w:rsidRPr="009A4148">
        <w:rPr>
          <w:rFonts w:ascii="Avenir Book" w:hAnsi="Avenir Book"/>
          <w:sz w:val="22"/>
          <w:szCs w:val="22"/>
        </w:rPr>
        <w:t xml:space="preserve"> the immortal gods and </w:t>
      </w:r>
      <w:r w:rsidR="00506265">
        <w:rPr>
          <w:rFonts w:ascii="Avenir Book" w:hAnsi="Avenir Book"/>
          <w:sz w:val="22"/>
          <w:szCs w:val="22"/>
        </w:rPr>
        <w:t xml:space="preserve">memorializing champions and heroes. </w:t>
      </w:r>
      <w:r w:rsidR="00953930">
        <w:rPr>
          <w:rFonts w:ascii="Avenir Book" w:hAnsi="Avenir Book"/>
          <w:sz w:val="22"/>
          <w:szCs w:val="22"/>
        </w:rPr>
        <w:t>R</w:t>
      </w:r>
      <w:r w:rsidR="00506265">
        <w:rPr>
          <w:rFonts w:ascii="Avenir Book" w:hAnsi="Avenir Book"/>
          <w:sz w:val="22"/>
          <w:szCs w:val="22"/>
        </w:rPr>
        <w:t xml:space="preserve">ecognition of the </w:t>
      </w:r>
      <w:r w:rsidR="00506265" w:rsidRPr="009A4148">
        <w:rPr>
          <w:rFonts w:ascii="Avenir Book" w:hAnsi="Avenir Book"/>
          <w:sz w:val="22"/>
          <w:szCs w:val="22"/>
        </w:rPr>
        <w:t xml:space="preserve">caducity </w:t>
      </w:r>
      <w:r w:rsidR="00506265">
        <w:rPr>
          <w:rFonts w:ascii="Avenir Book" w:hAnsi="Avenir Book"/>
          <w:sz w:val="22"/>
          <w:szCs w:val="22"/>
        </w:rPr>
        <w:t>of shrines and memorials entail</w:t>
      </w:r>
      <w:r w:rsidR="00506265" w:rsidRPr="009A4148">
        <w:rPr>
          <w:rFonts w:ascii="Avenir Book" w:hAnsi="Avenir Book"/>
          <w:sz w:val="22"/>
          <w:szCs w:val="22"/>
        </w:rPr>
        <w:t xml:space="preserve">ed a </w:t>
      </w:r>
      <w:r w:rsidR="00506265" w:rsidRPr="00B85FFC">
        <w:rPr>
          <w:rFonts w:ascii="Avenir Book" w:hAnsi="Avenir Book"/>
          <w:sz w:val="22"/>
          <w:szCs w:val="22"/>
        </w:rPr>
        <w:t>paradox</w:t>
      </w:r>
      <w:r w:rsidR="00506265" w:rsidRPr="009A4148">
        <w:rPr>
          <w:rFonts w:ascii="Avenir Book" w:hAnsi="Avenir Book"/>
          <w:sz w:val="22"/>
          <w:szCs w:val="22"/>
        </w:rPr>
        <w:t xml:space="preserve"> that was at once practical and philosophical. An adept of Epicurus, Lucretius re</w:t>
      </w:r>
      <w:r w:rsidR="00506265">
        <w:rPr>
          <w:rFonts w:ascii="Avenir Book" w:hAnsi="Avenir Book"/>
          <w:sz w:val="22"/>
          <w:szCs w:val="22"/>
        </w:rPr>
        <w:t>garde</w:t>
      </w:r>
      <w:r w:rsidR="00506265" w:rsidRPr="009A4148">
        <w:rPr>
          <w:rFonts w:ascii="Avenir Book" w:hAnsi="Avenir Book"/>
          <w:sz w:val="22"/>
          <w:szCs w:val="22"/>
        </w:rPr>
        <w:t xml:space="preserve">d the decay </w:t>
      </w:r>
      <w:r w:rsidR="00506265">
        <w:rPr>
          <w:rFonts w:ascii="Avenir Book" w:hAnsi="Avenir Book"/>
          <w:sz w:val="22"/>
          <w:szCs w:val="22"/>
        </w:rPr>
        <w:t xml:space="preserve">and demise </w:t>
      </w:r>
      <w:r w:rsidR="00506265" w:rsidRPr="009A4148">
        <w:rPr>
          <w:rFonts w:ascii="Avenir Book" w:hAnsi="Avenir Book"/>
          <w:sz w:val="22"/>
          <w:szCs w:val="22"/>
        </w:rPr>
        <w:t xml:space="preserve">of animate beings and inanimate objects </w:t>
      </w:r>
      <w:r w:rsidR="00506265">
        <w:rPr>
          <w:rFonts w:ascii="Avenir Book" w:hAnsi="Avenir Book"/>
          <w:sz w:val="22"/>
          <w:szCs w:val="22"/>
        </w:rPr>
        <w:t>alike as being intrinsic</w:t>
      </w:r>
      <w:r w:rsidR="00506265" w:rsidRPr="009A4148">
        <w:rPr>
          <w:rFonts w:ascii="Avenir Book" w:hAnsi="Avenir Book"/>
          <w:sz w:val="22"/>
          <w:szCs w:val="22"/>
        </w:rPr>
        <w:t xml:space="preserve"> to their nature</w:t>
      </w:r>
      <w:r w:rsidR="00506265">
        <w:rPr>
          <w:rFonts w:ascii="Avenir Book" w:hAnsi="Avenir Book"/>
          <w:sz w:val="22"/>
          <w:szCs w:val="22"/>
        </w:rPr>
        <w:t>, hence inevitable and not to be lamented</w:t>
      </w:r>
      <w:r w:rsidR="00506265" w:rsidRPr="009A4148">
        <w:rPr>
          <w:rFonts w:ascii="Avenir Book" w:hAnsi="Avenir Book"/>
          <w:sz w:val="22"/>
          <w:szCs w:val="22"/>
        </w:rPr>
        <w:t xml:space="preserve">. </w:t>
      </w:r>
      <w:r w:rsidR="00506265">
        <w:rPr>
          <w:rFonts w:ascii="Avenir Book" w:hAnsi="Avenir Book"/>
          <w:sz w:val="22"/>
          <w:szCs w:val="22"/>
        </w:rPr>
        <w:t xml:space="preserve">The same position is expressed by the </w:t>
      </w:r>
      <w:r w:rsidR="00506265" w:rsidRPr="009A4148">
        <w:rPr>
          <w:rFonts w:ascii="Avenir Book" w:hAnsi="Avenir Book"/>
          <w:sz w:val="22"/>
          <w:szCs w:val="22"/>
        </w:rPr>
        <w:t>Buddhis</w:t>
      </w:r>
      <w:r w:rsidR="00506265">
        <w:rPr>
          <w:rFonts w:ascii="Avenir Book" w:hAnsi="Avenir Book"/>
          <w:sz w:val="22"/>
          <w:szCs w:val="22"/>
        </w:rPr>
        <w:t xml:space="preserve">t tenet of </w:t>
      </w:r>
      <w:r w:rsidR="00506265" w:rsidRPr="009A4148">
        <w:rPr>
          <w:rFonts w:ascii="Avenir Book" w:hAnsi="Avenir Book"/>
          <w:sz w:val="22"/>
          <w:szCs w:val="22"/>
        </w:rPr>
        <w:t xml:space="preserve">impermanence </w:t>
      </w:r>
      <w:r w:rsidR="00506265">
        <w:rPr>
          <w:rFonts w:ascii="Avenir Book" w:hAnsi="Avenir Book"/>
          <w:sz w:val="22"/>
          <w:szCs w:val="22"/>
        </w:rPr>
        <w:t xml:space="preserve">(Pali, </w:t>
      </w:r>
      <w:r w:rsidR="00506265" w:rsidRPr="00953930">
        <w:rPr>
          <w:rFonts w:ascii="Avenir Book" w:hAnsi="Avenir Book"/>
          <w:i/>
          <w:sz w:val="22"/>
          <w:szCs w:val="22"/>
        </w:rPr>
        <w:t>anicca</w:t>
      </w:r>
      <w:r w:rsidR="00506265">
        <w:rPr>
          <w:rFonts w:ascii="Avenir Book" w:hAnsi="Avenir Book"/>
          <w:sz w:val="22"/>
          <w:szCs w:val="22"/>
        </w:rPr>
        <w:t xml:space="preserve">), one of the </w:t>
      </w:r>
      <w:r w:rsidR="00506265" w:rsidRPr="009A4148">
        <w:rPr>
          <w:rFonts w:ascii="Avenir Book" w:hAnsi="Avenir Book"/>
          <w:sz w:val="22"/>
          <w:szCs w:val="22"/>
        </w:rPr>
        <w:t xml:space="preserve">marks of existence </w:t>
      </w:r>
      <w:r w:rsidR="00506265">
        <w:rPr>
          <w:rFonts w:ascii="Avenir Book" w:hAnsi="Avenir Book"/>
          <w:sz w:val="22"/>
          <w:szCs w:val="22"/>
        </w:rPr>
        <w:t xml:space="preserve">along </w:t>
      </w:r>
      <w:r w:rsidR="00506265" w:rsidRPr="009A4148">
        <w:rPr>
          <w:rFonts w:ascii="Avenir Book" w:hAnsi="Avenir Book"/>
          <w:sz w:val="22"/>
          <w:szCs w:val="22"/>
        </w:rPr>
        <w:t xml:space="preserve">with suffering and the </w:t>
      </w:r>
      <w:r w:rsidR="00506265">
        <w:rPr>
          <w:rFonts w:ascii="Avenir Book" w:hAnsi="Avenir Book"/>
          <w:sz w:val="22"/>
          <w:szCs w:val="22"/>
        </w:rPr>
        <w:t xml:space="preserve">absence </w:t>
      </w:r>
      <w:r w:rsidR="00506265" w:rsidRPr="009A4148">
        <w:rPr>
          <w:rFonts w:ascii="Avenir Book" w:hAnsi="Avenir Book"/>
          <w:sz w:val="22"/>
          <w:szCs w:val="22"/>
        </w:rPr>
        <w:t xml:space="preserve">of self. In the </w:t>
      </w:r>
      <w:r w:rsidR="00506265">
        <w:rPr>
          <w:rFonts w:ascii="Avenir Book" w:hAnsi="Avenir Book"/>
          <w:sz w:val="22"/>
          <w:szCs w:val="22"/>
        </w:rPr>
        <w:t>‘</w:t>
      </w:r>
      <w:r w:rsidR="00506265" w:rsidRPr="009A4148">
        <w:rPr>
          <w:rFonts w:ascii="Avenir Book" w:hAnsi="Avenir Book"/>
          <w:sz w:val="22"/>
          <w:szCs w:val="22"/>
        </w:rPr>
        <w:t xml:space="preserve">Sermon of the Arrow’, the Buddha </w:t>
      </w:r>
      <w:r w:rsidR="00506265">
        <w:rPr>
          <w:rFonts w:ascii="Avenir Book" w:hAnsi="Avenir Book"/>
          <w:sz w:val="22"/>
          <w:szCs w:val="22"/>
        </w:rPr>
        <w:t>announces</w:t>
      </w:r>
      <w:r w:rsidR="00506265" w:rsidRPr="009A4148">
        <w:rPr>
          <w:rFonts w:ascii="Avenir Book" w:hAnsi="Avenir Book"/>
          <w:sz w:val="22"/>
          <w:szCs w:val="22"/>
        </w:rPr>
        <w:t>: ‘In this manner the world is afflicted by death and decay. But the wise do not grieve, having realized the nature of the world’.</w:t>
      </w:r>
      <w:r w:rsidR="00506265" w:rsidRPr="009A4148">
        <w:rPr>
          <w:rStyle w:val="FootnoteReference"/>
          <w:rFonts w:ascii="Avenir Book" w:hAnsi="Avenir Book"/>
          <w:sz w:val="22"/>
          <w:szCs w:val="22"/>
        </w:rPr>
        <w:footnoteReference w:id="4"/>
      </w:r>
      <w:r w:rsidR="00506265" w:rsidRPr="009A4148">
        <w:rPr>
          <w:rFonts w:ascii="Avenir Book" w:hAnsi="Avenir Book"/>
          <w:sz w:val="22"/>
          <w:szCs w:val="22"/>
        </w:rPr>
        <w:t xml:space="preserve"> Another </w:t>
      </w:r>
      <w:r w:rsidR="00506265">
        <w:rPr>
          <w:rFonts w:ascii="Avenir Book" w:hAnsi="Avenir Book"/>
          <w:sz w:val="22"/>
          <w:szCs w:val="22"/>
        </w:rPr>
        <w:t xml:space="preserve">canonical </w:t>
      </w:r>
      <w:r w:rsidR="00953930">
        <w:rPr>
          <w:rFonts w:ascii="Avenir Book" w:hAnsi="Avenir Book"/>
          <w:sz w:val="22"/>
          <w:szCs w:val="22"/>
        </w:rPr>
        <w:t xml:space="preserve">Pali </w:t>
      </w:r>
      <w:r w:rsidR="00506265">
        <w:rPr>
          <w:rFonts w:ascii="Avenir Book" w:hAnsi="Avenir Book"/>
          <w:sz w:val="22"/>
          <w:szCs w:val="22"/>
        </w:rPr>
        <w:t>text</w:t>
      </w:r>
      <w:r w:rsidR="00506265" w:rsidRPr="009A4148">
        <w:rPr>
          <w:rFonts w:ascii="Avenir Book" w:hAnsi="Avenir Book"/>
          <w:sz w:val="22"/>
          <w:szCs w:val="22"/>
        </w:rPr>
        <w:t xml:space="preserve">, the </w:t>
      </w:r>
      <w:r w:rsidR="00506265" w:rsidRPr="009A4148">
        <w:rPr>
          <w:rFonts w:ascii="Avenir Book" w:hAnsi="Avenir Book"/>
          <w:i/>
          <w:sz w:val="22"/>
          <w:szCs w:val="22"/>
        </w:rPr>
        <w:t>Dhammapada</w:t>
      </w:r>
      <w:r w:rsidR="00506265">
        <w:rPr>
          <w:rFonts w:ascii="Avenir Book" w:hAnsi="Avenir Book"/>
          <w:sz w:val="22"/>
          <w:szCs w:val="22"/>
        </w:rPr>
        <w:t xml:space="preserve">, </w:t>
      </w:r>
      <w:r w:rsidR="00953930">
        <w:rPr>
          <w:rFonts w:ascii="Avenir Book" w:hAnsi="Avenir Book"/>
          <w:sz w:val="22"/>
          <w:szCs w:val="22"/>
        </w:rPr>
        <w:t xml:space="preserve">likewise </w:t>
      </w:r>
      <w:r w:rsidR="00506265">
        <w:rPr>
          <w:rFonts w:ascii="Avenir Book" w:hAnsi="Avenir Book"/>
          <w:sz w:val="22"/>
          <w:szCs w:val="22"/>
        </w:rPr>
        <w:t>explains at verse 277</w:t>
      </w:r>
      <w:r w:rsidR="00506265" w:rsidRPr="009A4148">
        <w:rPr>
          <w:rFonts w:ascii="Avenir Book" w:hAnsi="Avenir Book"/>
          <w:sz w:val="22"/>
          <w:szCs w:val="22"/>
        </w:rPr>
        <w:t xml:space="preserve">: ‘All conditioned things are impermanent. When one sees this wisdom, one turns away from suffering. This is the path to purity’. </w:t>
      </w:r>
      <w:r w:rsidR="00506265">
        <w:rPr>
          <w:rFonts w:ascii="Avenir Book" w:hAnsi="Avenir Book"/>
          <w:sz w:val="22"/>
          <w:szCs w:val="22"/>
        </w:rPr>
        <w:t xml:space="preserve">In the </w:t>
      </w:r>
      <w:r w:rsidR="00506265" w:rsidRPr="009A4148">
        <w:rPr>
          <w:rFonts w:ascii="Avenir Book" w:hAnsi="Avenir Book"/>
          <w:sz w:val="22"/>
          <w:szCs w:val="22"/>
        </w:rPr>
        <w:t>pan-Asian transformation</w:t>
      </w:r>
      <w:r w:rsidR="00506265">
        <w:rPr>
          <w:rFonts w:ascii="Avenir Book" w:hAnsi="Avenir Book"/>
          <w:sz w:val="22"/>
          <w:szCs w:val="22"/>
        </w:rPr>
        <w:t xml:space="preserve"> of</w:t>
      </w:r>
      <w:r w:rsidR="00506265" w:rsidRPr="00154278">
        <w:rPr>
          <w:rFonts w:ascii="Avenir Book" w:hAnsi="Avenir Book"/>
          <w:sz w:val="22"/>
          <w:szCs w:val="22"/>
        </w:rPr>
        <w:t xml:space="preserve"> </w:t>
      </w:r>
      <w:r w:rsidR="00506265">
        <w:rPr>
          <w:rFonts w:ascii="Avenir Book" w:hAnsi="Avenir Book"/>
          <w:sz w:val="22"/>
          <w:szCs w:val="22"/>
        </w:rPr>
        <w:t>Buddhism</w:t>
      </w:r>
      <w:r w:rsidR="00506265" w:rsidRPr="009A4148">
        <w:rPr>
          <w:rFonts w:ascii="Avenir Book" w:hAnsi="Avenir Book"/>
          <w:sz w:val="22"/>
          <w:szCs w:val="22"/>
        </w:rPr>
        <w:t xml:space="preserve"> into a soteriological faith, these</w:t>
      </w:r>
      <w:r w:rsidR="00506265">
        <w:rPr>
          <w:rFonts w:ascii="Avenir Book" w:hAnsi="Avenir Book"/>
          <w:sz w:val="22"/>
          <w:szCs w:val="22"/>
        </w:rPr>
        <w:t xml:space="preserve"> doctrinal</w:t>
      </w:r>
      <w:r w:rsidR="00506265" w:rsidRPr="009A4148">
        <w:rPr>
          <w:rFonts w:ascii="Avenir Book" w:hAnsi="Avenir Book"/>
          <w:sz w:val="22"/>
          <w:szCs w:val="22"/>
        </w:rPr>
        <w:t xml:space="preserve"> principles </w:t>
      </w:r>
      <w:r w:rsidR="00506265">
        <w:rPr>
          <w:rFonts w:ascii="Avenir Book" w:hAnsi="Avenir Book"/>
          <w:sz w:val="22"/>
          <w:szCs w:val="22"/>
        </w:rPr>
        <w:t xml:space="preserve">were however </w:t>
      </w:r>
      <w:r w:rsidR="00506265" w:rsidRPr="009A4148">
        <w:rPr>
          <w:rFonts w:ascii="Avenir Book" w:hAnsi="Avenir Book"/>
          <w:sz w:val="22"/>
          <w:szCs w:val="22"/>
        </w:rPr>
        <w:t xml:space="preserve">contradicted </w:t>
      </w:r>
      <w:r w:rsidR="00506265">
        <w:rPr>
          <w:rFonts w:ascii="Avenir Book" w:hAnsi="Avenir Book"/>
          <w:sz w:val="22"/>
          <w:szCs w:val="22"/>
        </w:rPr>
        <w:t xml:space="preserve">by the diffusion of the </w:t>
      </w:r>
      <w:r w:rsidR="00506265" w:rsidRPr="009A4148">
        <w:rPr>
          <w:rFonts w:ascii="Avenir Book" w:hAnsi="Avenir Book"/>
          <w:sz w:val="22"/>
          <w:szCs w:val="22"/>
        </w:rPr>
        <w:t xml:space="preserve">cult of </w:t>
      </w:r>
      <w:r w:rsidR="00506265">
        <w:rPr>
          <w:rFonts w:ascii="Avenir Book" w:hAnsi="Avenir Book"/>
          <w:sz w:val="22"/>
          <w:szCs w:val="22"/>
        </w:rPr>
        <w:t>the Buddha’s</w:t>
      </w:r>
      <w:r w:rsidR="00506265" w:rsidRPr="009A4148">
        <w:rPr>
          <w:rFonts w:ascii="Avenir Book" w:hAnsi="Avenir Book"/>
          <w:sz w:val="22"/>
          <w:szCs w:val="22"/>
        </w:rPr>
        <w:t xml:space="preserve"> bodily relics and </w:t>
      </w:r>
      <w:r w:rsidR="00AA6AC1">
        <w:rPr>
          <w:rFonts w:ascii="Avenir Book" w:hAnsi="Avenir Book"/>
          <w:sz w:val="22"/>
          <w:szCs w:val="22"/>
        </w:rPr>
        <w:t>of man-made “reminders”</w:t>
      </w:r>
      <w:r w:rsidR="00506265">
        <w:rPr>
          <w:rFonts w:ascii="Avenir Book" w:hAnsi="Avenir Book"/>
          <w:sz w:val="22"/>
          <w:szCs w:val="22"/>
        </w:rPr>
        <w:t xml:space="preserve"> su</w:t>
      </w:r>
      <w:r w:rsidR="00AA6AC1">
        <w:rPr>
          <w:rFonts w:ascii="Avenir Book" w:hAnsi="Avenir Book"/>
          <w:sz w:val="22"/>
          <w:szCs w:val="22"/>
        </w:rPr>
        <w:t>ch as images and reliquaries (</w:t>
      </w:r>
      <w:r w:rsidR="00506265">
        <w:rPr>
          <w:rFonts w:ascii="Avenir Book" w:hAnsi="Avenir Book"/>
          <w:sz w:val="22"/>
          <w:szCs w:val="22"/>
        </w:rPr>
        <w:t>s</w:t>
      </w:r>
      <w:r w:rsidR="00953930">
        <w:rPr>
          <w:rFonts w:ascii="Avenir Book" w:hAnsi="Avenir Book"/>
          <w:sz w:val="22"/>
          <w:szCs w:val="22"/>
        </w:rPr>
        <w:t>tupa</w:t>
      </w:r>
      <w:r w:rsidR="00AA6AC1">
        <w:rPr>
          <w:rFonts w:ascii="Avenir Book" w:hAnsi="Avenir Book"/>
          <w:sz w:val="22"/>
          <w:szCs w:val="22"/>
        </w:rPr>
        <w:t>)</w:t>
      </w:r>
      <w:r w:rsidR="00953930">
        <w:rPr>
          <w:rFonts w:ascii="Avenir Book" w:hAnsi="Avenir Book"/>
          <w:sz w:val="22"/>
          <w:szCs w:val="22"/>
        </w:rPr>
        <w:t xml:space="preserve">, which </w:t>
      </w:r>
      <w:r w:rsidR="00506265">
        <w:rPr>
          <w:rFonts w:ascii="Avenir Book" w:hAnsi="Avenir Book"/>
          <w:sz w:val="22"/>
          <w:szCs w:val="22"/>
        </w:rPr>
        <w:t xml:space="preserve">were believed to </w:t>
      </w:r>
      <w:r w:rsidR="00506265">
        <w:rPr>
          <w:rFonts w:ascii="Avenir Book" w:hAnsi="Avenir Book"/>
          <w:sz w:val="22"/>
          <w:szCs w:val="22"/>
        </w:rPr>
        <w:lastRenderedPageBreak/>
        <w:t xml:space="preserve">emanate beneficial energy but to also demand the </w:t>
      </w:r>
      <w:r w:rsidR="00506265" w:rsidRPr="009A4148">
        <w:rPr>
          <w:rFonts w:ascii="Avenir Book" w:hAnsi="Avenir Book"/>
          <w:sz w:val="22"/>
          <w:szCs w:val="22"/>
        </w:rPr>
        <w:t xml:space="preserve">care </w:t>
      </w:r>
      <w:r w:rsidR="00506265">
        <w:rPr>
          <w:rFonts w:ascii="Avenir Book" w:hAnsi="Avenir Book"/>
          <w:sz w:val="22"/>
          <w:szCs w:val="22"/>
        </w:rPr>
        <w:t>of worshippers in return</w:t>
      </w:r>
      <w:r w:rsidR="00506265" w:rsidRPr="009A4148">
        <w:rPr>
          <w:rFonts w:ascii="Avenir Book" w:hAnsi="Avenir Book"/>
          <w:sz w:val="22"/>
          <w:szCs w:val="22"/>
        </w:rPr>
        <w:t xml:space="preserve"> for</w:t>
      </w:r>
      <w:r w:rsidR="00506265">
        <w:rPr>
          <w:rFonts w:ascii="Avenir Book" w:hAnsi="Avenir Book"/>
          <w:sz w:val="22"/>
          <w:szCs w:val="22"/>
        </w:rPr>
        <w:t xml:space="preserve"> </w:t>
      </w:r>
      <w:r w:rsidR="00506265" w:rsidRPr="009A4148">
        <w:rPr>
          <w:rFonts w:ascii="Avenir Book" w:hAnsi="Avenir Book"/>
          <w:sz w:val="22"/>
          <w:szCs w:val="22"/>
        </w:rPr>
        <w:t>blessings</w:t>
      </w:r>
      <w:r w:rsidR="00506265">
        <w:rPr>
          <w:rFonts w:ascii="Avenir Book" w:hAnsi="Avenir Book"/>
          <w:sz w:val="22"/>
          <w:szCs w:val="22"/>
        </w:rPr>
        <w:t xml:space="preserve"> and protection.</w:t>
      </w:r>
      <w:r w:rsidR="00506265" w:rsidRPr="009A4148">
        <w:rPr>
          <w:rFonts w:ascii="Avenir Book" w:hAnsi="Avenir Book"/>
          <w:sz w:val="22"/>
          <w:szCs w:val="22"/>
        </w:rPr>
        <w:t xml:space="preserve"> </w:t>
      </w:r>
    </w:p>
    <w:p w14:paraId="6B8DB783" w14:textId="4CFDF390" w:rsidR="00506265" w:rsidRDefault="00506265" w:rsidP="00506265">
      <w:pPr>
        <w:ind w:firstLine="720"/>
        <w:rPr>
          <w:rFonts w:ascii="Avenir Book" w:hAnsi="Avenir Book"/>
          <w:sz w:val="22"/>
          <w:szCs w:val="22"/>
        </w:rPr>
      </w:pPr>
      <w:r w:rsidRPr="009A4148">
        <w:rPr>
          <w:rFonts w:ascii="Avenir Book" w:hAnsi="Avenir Book"/>
          <w:sz w:val="22"/>
          <w:szCs w:val="22"/>
        </w:rPr>
        <w:t>Such reciprocity is by no means exclusive to Buddhist devotion. Recent scholarship</w:t>
      </w:r>
      <w:r>
        <w:rPr>
          <w:rStyle w:val="FootnoteReference"/>
          <w:rFonts w:ascii="Avenir Book" w:hAnsi="Avenir Book"/>
          <w:sz w:val="22"/>
          <w:szCs w:val="22"/>
        </w:rPr>
        <w:footnoteReference w:id="5"/>
      </w:r>
      <w:r>
        <w:rPr>
          <w:rFonts w:ascii="Avenir Book" w:hAnsi="Avenir Book"/>
          <w:sz w:val="22"/>
          <w:szCs w:val="22"/>
        </w:rPr>
        <w:t xml:space="preserve"> </w:t>
      </w:r>
      <w:r w:rsidRPr="009A4148">
        <w:rPr>
          <w:rFonts w:ascii="Avenir Book" w:hAnsi="Avenir Book"/>
          <w:sz w:val="22"/>
          <w:szCs w:val="22"/>
        </w:rPr>
        <w:t>has examined the nexus of religiosity and material</w:t>
      </w:r>
      <w:r>
        <w:rPr>
          <w:rFonts w:ascii="Avenir Book" w:hAnsi="Avenir Book"/>
          <w:sz w:val="22"/>
          <w:szCs w:val="22"/>
        </w:rPr>
        <w:t>ity underpinn</w:t>
      </w:r>
      <w:r w:rsidRPr="009A4148">
        <w:rPr>
          <w:rFonts w:ascii="Avenir Book" w:hAnsi="Avenir Book"/>
          <w:sz w:val="22"/>
          <w:szCs w:val="22"/>
        </w:rPr>
        <w:t>ing beliefs</w:t>
      </w:r>
      <w:r w:rsidRPr="00590263">
        <w:rPr>
          <w:rFonts w:ascii="Avenir Book" w:hAnsi="Avenir Book"/>
          <w:sz w:val="22"/>
          <w:szCs w:val="22"/>
        </w:rPr>
        <w:t xml:space="preserve"> </w:t>
      </w:r>
      <w:r>
        <w:rPr>
          <w:rFonts w:ascii="Avenir Book" w:hAnsi="Avenir Book"/>
          <w:sz w:val="22"/>
          <w:szCs w:val="22"/>
        </w:rPr>
        <w:t>that</w:t>
      </w:r>
      <w:r w:rsidRPr="009A4148">
        <w:rPr>
          <w:rFonts w:ascii="Avenir Book" w:hAnsi="Avenir Book"/>
          <w:sz w:val="22"/>
          <w:szCs w:val="22"/>
        </w:rPr>
        <w:t xml:space="preserve"> </w:t>
      </w:r>
      <w:r>
        <w:rPr>
          <w:rFonts w:ascii="Avenir Book" w:hAnsi="Avenir Book"/>
          <w:sz w:val="22"/>
          <w:szCs w:val="22"/>
        </w:rPr>
        <w:t xml:space="preserve">were widespread in the premodern world, </w:t>
      </w:r>
      <w:r w:rsidRPr="009A4148">
        <w:rPr>
          <w:rFonts w:ascii="Avenir Book" w:hAnsi="Avenir Book"/>
          <w:sz w:val="22"/>
          <w:szCs w:val="22"/>
        </w:rPr>
        <w:t>and</w:t>
      </w:r>
      <w:r>
        <w:rPr>
          <w:rFonts w:ascii="Avenir Book" w:hAnsi="Avenir Book"/>
          <w:sz w:val="22"/>
          <w:szCs w:val="22"/>
        </w:rPr>
        <w:t xml:space="preserve"> by no means extinguished today,</w:t>
      </w:r>
      <w:r w:rsidRPr="005017CC">
        <w:rPr>
          <w:rFonts w:ascii="Avenir Book" w:hAnsi="Avenir Book"/>
          <w:sz w:val="22"/>
          <w:szCs w:val="22"/>
        </w:rPr>
        <w:t xml:space="preserve"> </w:t>
      </w:r>
      <w:r w:rsidRPr="009A4148">
        <w:rPr>
          <w:rFonts w:ascii="Avenir Book" w:hAnsi="Avenir Book"/>
          <w:sz w:val="22"/>
          <w:szCs w:val="22"/>
        </w:rPr>
        <w:t xml:space="preserve">in the preternatural powers of </w:t>
      </w:r>
      <w:r>
        <w:rPr>
          <w:rFonts w:ascii="Avenir Book" w:hAnsi="Avenir Book"/>
          <w:sz w:val="22"/>
          <w:szCs w:val="22"/>
        </w:rPr>
        <w:t>cult</w:t>
      </w:r>
      <w:r w:rsidRPr="009A4148">
        <w:rPr>
          <w:rFonts w:ascii="Avenir Book" w:hAnsi="Avenir Book"/>
          <w:sz w:val="22"/>
          <w:szCs w:val="22"/>
        </w:rPr>
        <w:t xml:space="preserve"> </w:t>
      </w:r>
      <w:r>
        <w:rPr>
          <w:rFonts w:ascii="Avenir Book" w:hAnsi="Avenir Book"/>
          <w:sz w:val="22"/>
          <w:szCs w:val="22"/>
        </w:rPr>
        <w:t>sites and objects. By establishing a channel between the worldly and the otherworldly, the visible and the invisible realms,</w:t>
      </w:r>
      <w:r w:rsidRPr="005017CC">
        <w:rPr>
          <w:rFonts w:ascii="Avenir Book" w:hAnsi="Avenir Book"/>
          <w:sz w:val="22"/>
          <w:szCs w:val="22"/>
        </w:rPr>
        <w:t xml:space="preserve"> </w:t>
      </w:r>
      <w:r>
        <w:rPr>
          <w:rFonts w:ascii="Avenir Book" w:hAnsi="Avenir Book"/>
          <w:sz w:val="22"/>
          <w:szCs w:val="22"/>
        </w:rPr>
        <w:t>cult sites and objects functioned as “media for the production of divine proximity</w:t>
      </w:r>
      <w:r w:rsidRPr="009A4148">
        <w:rPr>
          <w:rFonts w:ascii="Avenir Book" w:hAnsi="Avenir Book"/>
          <w:sz w:val="22"/>
          <w:szCs w:val="22"/>
        </w:rPr>
        <w:t>.</w:t>
      </w:r>
      <w:r>
        <w:rPr>
          <w:rFonts w:ascii="Avenir Book" w:hAnsi="Avenir Book"/>
          <w:sz w:val="22"/>
          <w:szCs w:val="22"/>
        </w:rPr>
        <w:t>”</w:t>
      </w:r>
      <w:r w:rsidR="0016764F">
        <w:rPr>
          <w:rStyle w:val="FootnoteReference"/>
          <w:rFonts w:ascii="Avenir Book" w:hAnsi="Avenir Book"/>
          <w:sz w:val="22"/>
          <w:szCs w:val="22"/>
        </w:rPr>
        <w:footnoteReference w:id="6"/>
      </w:r>
      <w:r w:rsidR="0016764F">
        <w:rPr>
          <w:rFonts w:ascii="Avenir Book" w:hAnsi="Avenir Book"/>
          <w:sz w:val="22"/>
          <w:szCs w:val="22"/>
        </w:rPr>
        <w:t xml:space="preserve"> </w:t>
      </w:r>
      <w:r>
        <w:rPr>
          <w:rFonts w:ascii="Avenir Book" w:hAnsi="Avenir Book"/>
          <w:sz w:val="22"/>
          <w:szCs w:val="22"/>
        </w:rPr>
        <w:t xml:space="preserve"> It is thus not surprising that across cultures,</w:t>
      </w:r>
      <w:r w:rsidRPr="009A4148">
        <w:rPr>
          <w:rFonts w:ascii="Avenir Book" w:hAnsi="Avenir Book"/>
          <w:sz w:val="22"/>
          <w:szCs w:val="22"/>
        </w:rPr>
        <w:t xml:space="preserve"> </w:t>
      </w:r>
      <w:r>
        <w:rPr>
          <w:rFonts w:ascii="Avenir Book" w:hAnsi="Avenir Book"/>
          <w:sz w:val="22"/>
          <w:szCs w:val="22"/>
        </w:rPr>
        <w:t xml:space="preserve">priests and priestesses </w:t>
      </w:r>
      <w:r w:rsidRPr="009A4148">
        <w:rPr>
          <w:rFonts w:ascii="Avenir Book" w:hAnsi="Avenir Book"/>
          <w:sz w:val="22"/>
          <w:szCs w:val="22"/>
        </w:rPr>
        <w:t xml:space="preserve">acted literally as curators </w:t>
      </w:r>
      <w:r w:rsidRPr="009A4148">
        <w:rPr>
          <w:rFonts w:ascii="Avenir Book" w:hAnsi="Avenir Book"/>
          <w:i/>
          <w:sz w:val="22"/>
          <w:szCs w:val="22"/>
        </w:rPr>
        <w:t xml:space="preserve">avant la </w:t>
      </w:r>
      <w:r>
        <w:rPr>
          <w:rFonts w:ascii="Avenir Book" w:hAnsi="Avenir Book"/>
          <w:i/>
          <w:sz w:val="22"/>
          <w:szCs w:val="22"/>
        </w:rPr>
        <w:t>lettre</w:t>
      </w:r>
      <w:r>
        <w:rPr>
          <w:rFonts w:ascii="Avenir Book" w:hAnsi="Avenir Book"/>
          <w:sz w:val="22"/>
          <w:szCs w:val="22"/>
        </w:rPr>
        <w:t xml:space="preserve"> by guarding shrines, ritually bat</w:t>
      </w:r>
      <w:r w:rsidRPr="009A4148">
        <w:rPr>
          <w:rFonts w:ascii="Avenir Book" w:hAnsi="Avenir Book"/>
          <w:sz w:val="22"/>
          <w:szCs w:val="22"/>
        </w:rPr>
        <w:t xml:space="preserve">hing and anointing </w:t>
      </w:r>
      <w:r>
        <w:rPr>
          <w:rFonts w:ascii="Avenir Book" w:hAnsi="Avenir Book"/>
          <w:sz w:val="22"/>
          <w:szCs w:val="22"/>
        </w:rPr>
        <w:t>sacred</w:t>
      </w:r>
      <w:r w:rsidRPr="009A4148">
        <w:rPr>
          <w:rFonts w:ascii="Avenir Book" w:hAnsi="Avenir Book"/>
          <w:sz w:val="22"/>
          <w:szCs w:val="22"/>
        </w:rPr>
        <w:t xml:space="preserve"> images</w:t>
      </w:r>
      <w:r>
        <w:rPr>
          <w:rFonts w:ascii="Avenir Book" w:hAnsi="Avenir Book"/>
          <w:sz w:val="22"/>
          <w:szCs w:val="22"/>
        </w:rPr>
        <w:t xml:space="preserve">, dressing and parading them around and outside temples, </w:t>
      </w:r>
      <w:r w:rsidRPr="009A4148">
        <w:rPr>
          <w:rFonts w:ascii="Avenir Book" w:hAnsi="Avenir Book"/>
          <w:sz w:val="22"/>
          <w:szCs w:val="22"/>
        </w:rPr>
        <w:t xml:space="preserve">and </w:t>
      </w:r>
      <w:r>
        <w:rPr>
          <w:rFonts w:ascii="Avenir Book" w:hAnsi="Avenir Book"/>
          <w:sz w:val="22"/>
          <w:szCs w:val="22"/>
        </w:rPr>
        <w:t>wr</w:t>
      </w:r>
      <w:r w:rsidRPr="009A4148">
        <w:rPr>
          <w:rFonts w:ascii="Avenir Book" w:hAnsi="Avenir Book"/>
          <w:sz w:val="22"/>
          <w:szCs w:val="22"/>
        </w:rPr>
        <w:t>i</w:t>
      </w:r>
      <w:r>
        <w:rPr>
          <w:rFonts w:ascii="Avenir Book" w:hAnsi="Avenir Book"/>
          <w:sz w:val="22"/>
          <w:szCs w:val="22"/>
        </w:rPr>
        <w:t>ti</w:t>
      </w:r>
      <w:r w:rsidRPr="009A4148">
        <w:rPr>
          <w:rFonts w:ascii="Avenir Book" w:hAnsi="Avenir Book"/>
          <w:sz w:val="22"/>
          <w:szCs w:val="22"/>
        </w:rPr>
        <w:t xml:space="preserve">ng their </w:t>
      </w:r>
      <w:r>
        <w:rPr>
          <w:rFonts w:ascii="Avenir Book" w:hAnsi="Avenir Book"/>
          <w:sz w:val="22"/>
          <w:szCs w:val="22"/>
        </w:rPr>
        <w:t xml:space="preserve">biographies (such as </w:t>
      </w:r>
      <w:r w:rsidRPr="009A4148">
        <w:rPr>
          <w:rFonts w:ascii="Avenir Book" w:hAnsi="Avenir Book"/>
          <w:sz w:val="22"/>
          <w:szCs w:val="22"/>
        </w:rPr>
        <w:t>the semi-hist</w:t>
      </w:r>
      <w:r>
        <w:rPr>
          <w:rFonts w:ascii="Avenir Book" w:hAnsi="Avenir Book"/>
          <w:sz w:val="22"/>
          <w:szCs w:val="22"/>
        </w:rPr>
        <w:t>orical chronicl</w:t>
      </w:r>
      <w:r w:rsidR="00EA07DB">
        <w:rPr>
          <w:rFonts w:ascii="Avenir Book" w:hAnsi="Avenir Book"/>
          <w:sz w:val="22"/>
          <w:szCs w:val="22"/>
        </w:rPr>
        <w:t xml:space="preserve">es of renown Buddha images </w:t>
      </w:r>
      <w:r>
        <w:rPr>
          <w:rFonts w:ascii="Avenir Book" w:hAnsi="Avenir Book"/>
          <w:sz w:val="22"/>
          <w:szCs w:val="22"/>
        </w:rPr>
        <w:t xml:space="preserve">composed </w:t>
      </w:r>
      <w:r w:rsidR="00EA07DB">
        <w:rPr>
          <w:rFonts w:ascii="Avenir Book" w:hAnsi="Avenir Book"/>
          <w:sz w:val="22"/>
          <w:szCs w:val="22"/>
        </w:rPr>
        <w:t xml:space="preserve">by monks </w:t>
      </w:r>
      <w:r>
        <w:rPr>
          <w:rFonts w:ascii="Avenir Book" w:hAnsi="Avenir Book"/>
          <w:sz w:val="22"/>
          <w:szCs w:val="22"/>
        </w:rPr>
        <w:t>in East and Southeast Asia)</w:t>
      </w:r>
      <w:r w:rsidRPr="009A4148">
        <w:rPr>
          <w:rFonts w:ascii="Avenir Book" w:hAnsi="Avenir Book"/>
          <w:sz w:val="22"/>
          <w:szCs w:val="22"/>
        </w:rPr>
        <w:t>.</w:t>
      </w:r>
      <w:r>
        <w:rPr>
          <w:rFonts w:ascii="Avenir Book" w:hAnsi="Avenir Book"/>
          <w:sz w:val="22"/>
          <w:szCs w:val="22"/>
        </w:rPr>
        <w:t xml:space="preserve"> </w:t>
      </w:r>
      <w:r w:rsidR="00FF6E7F">
        <w:rPr>
          <w:rFonts w:ascii="Avenir Book" w:hAnsi="Avenir Book"/>
          <w:sz w:val="22"/>
          <w:szCs w:val="22"/>
        </w:rPr>
        <w:t>W</w:t>
      </w:r>
      <w:r>
        <w:rPr>
          <w:rFonts w:ascii="Avenir Book" w:hAnsi="Avenir Book"/>
          <w:sz w:val="22"/>
          <w:szCs w:val="22"/>
        </w:rPr>
        <w:t xml:space="preserve">orshippers, who generally enjoyed only indirect contact with cult objects, </w:t>
      </w:r>
      <w:r w:rsidR="00FF6E7F">
        <w:rPr>
          <w:rFonts w:ascii="Avenir Book" w:hAnsi="Avenir Book"/>
          <w:sz w:val="22"/>
          <w:szCs w:val="22"/>
        </w:rPr>
        <w:t xml:space="preserve">manifested </w:t>
      </w:r>
      <w:r>
        <w:rPr>
          <w:rFonts w:ascii="Avenir Book" w:hAnsi="Avenir Book"/>
          <w:sz w:val="22"/>
          <w:szCs w:val="22"/>
        </w:rPr>
        <w:t>the</w:t>
      </w:r>
      <w:r w:rsidR="00FF6E7F">
        <w:rPr>
          <w:rFonts w:ascii="Avenir Book" w:hAnsi="Avenir Book"/>
          <w:sz w:val="22"/>
          <w:szCs w:val="22"/>
        </w:rPr>
        <w:t>ir</w:t>
      </w:r>
      <w:r>
        <w:rPr>
          <w:rFonts w:ascii="Avenir Book" w:hAnsi="Avenir Book"/>
          <w:sz w:val="22"/>
          <w:szCs w:val="22"/>
        </w:rPr>
        <w:t xml:space="preserve"> </w:t>
      </w:r>
      <w:r w:rsidR="00FF6E7F">
        <w:rPr>
          <w:rFonts w:ascii="Avenir Book" w:hAnsi="Avenir Book"/>
          <w:sz w:val="22"/>
          <w:szCs w:val="22"/>
        </w:rPr>
        <w:t>care via</w:t>
      </w:r>
      <w:r>
        <w:rPr>
          <w:rFonts w:ascii="Avenir Book" w:hAnsi="Avenir Book"/>
          <w:sz w:val="22"/>
          <w:szCs w:val="22"/>
        </w:rPr>
        <w:t xml:space="preserve"> offerings, from incense to newly spun cloth and sacrificial animals, presented by individ</w:t>
      </w:r>
      <w:r w:rsidR="00EA07DB">
        <w:rPr>
          <w:rFonts w:ascii="Avenir Book" w:hAnsi="Avenir Book"/>
          <w:sz w:val="22"/>
          <w:szCs w:val="22"/>
        </w:rPr>
        <w:t>uals and,</w:t>
      </w:r>
      <w:r w:rsidR="00FF6E7F">
        <w:rPr>
          <w:rFonts w:ascii="Avenir Book" w:hAnsi="Avenir Book"/>
          <w:sz w:val="22"/>
          <w:szCs w:val="22"/>
        </w:rPr>
        <w:t xml:space="preserve"> more significantly</w:t>
      </w:r>
      <w:r>
        <w:rPr>
          <w:rFonts w:ascii="Avenir Book" w:hAnsi="Avenir Book"/>
          <w:sz w:val="22"/>
          <w:szCs w:val="22"/>
        </w:rPr>
        <w:t>,</w:t>
      </w:r>
      <w:r w:rsidRPr="00334A66">
        <w:rPr>
          <w:rFonts w:ascii="Avenir Book" w:hAnsi="Avenir Book"/>
          <w:sz w:val="22"/>
          <w:szCs w:val="22"/>
        </w:rPr>
        <w:t xml:space="preserve"> </w:t>
      </w:r>
      <w:r w:rsidR="00FF6E7F">
        <w:rPr>
          <w:rFonts w:ascii="Avenir Book" w:hAnsi="Avenir Book"/>
          <w:sz w:val="22"/>
          <w:szCs w:val="22"/>
        </w:rPr>
        <w:t>entire</w:t>
      </w:r>
      <w:r>
        <w:rPr>
          <w:rFonts w:ascii="Avenir Book" w:hAnsi="Avenir Book"/>
          <w:sz w:val="22"/>
          <w:szCs w:val="22"/>
        </w:rPr>
        <w:t xml:space="preserve"> comm</w:t>
      </w:r>
      <w:r w:rsidR="00EA07DB">
        <w:rPr>
          <w:rFonts w:ascii="Avenir Book" w:hAnsi="Avenir Book"/>
          <w:sz w:val="22"/>
          <w:szCs w:val="22"/>
        </w:rPr>
        <w:t xml:space="preserve">unities during </w:t>
      </w:r>
      <w:r>
        <w:rPr>
          <w:rFonts w:ascii="Avenir Book" w:hAnsi="Avenir Book"/>
          <w:sz w:val="22"/>
          <w:szCs w:val="22"/>
        </w:rPr>
        <w:t>the religious festivals that hallmarked</w:t>
      </w:r>
      <w:r w:rsidR="00EA07DB">
        <w:rPr>
          <w:rFonts w:ascii="Avenir Book" w:hAnsi="Avenir Book"/>
          <w:sz w:val="22"/>
          <w:szCs w:val="22"/>
        </w:rPr>
        <w:t xml:space="preserve"> the social life of ancient and medieval cities</w:t>
      </w:r>
      <w:r>
        <w:rPr>
          <w:rFonts w:ascii="Avenir Book" w:hAnsi="Avenir Book"/>
          <w:sz w:val="22"/>
          <w:szCs w:val="22"/>
        </w:rPr>
        <w:t xml:space="preserve">. </w:t>
      </w:r>
    </w:p>
    <w:p w14:paraId="36C610E1" w14:textId="4575C91A" w:rsidR="00506265" w:rsidRDefault="00506265" w:rsidP="00506265">
      <w:pPr>
        <w:ind w:firstLine="720"/>
        <w:rPr>
          <w:rFonts w:ascii="Avenir Book" w:hAnsi="Avenir Book"/>
          <w:sz w:val="22"/>
          <w:szCs w:val="22"/>
        </w:rPr>
      </w:pPr>
      <w:r>
        <w:rPr>
          <w:rFonts w:ascii="Avenir Book" w:hAnsi="Avenir Book"/>
          <w:sz w:val="22"/>
          <w:szCs w:val="22"/>
        </w:rPr>
        <w:t>Care for cultural artefa</w:t>
      </w:r>
      <w:r w:rsidRPr="00502A14">
        <w:rPr>
          <w:rFonts w:ascii="Avenir Book" w:hAnsi="Avenir Book"/>
          <w:sz w:val="22"/>
          <w:szCs w:val="22"/>
        </w:rPr>
        <w:t>cts</w:t>
      </w:r>
      <w:r>
        <w:rPr>
          <w:rFonts w:ascii="Avenir Book" w:hAnsi="Avenir Book"/>
          <w:sz w:val="22"/>
          <w:szCs w:val="22"/>
        </w:rPr>
        <w:t xml:space="preserve"> in the premodern world was thus predominant</w:t>
      </w:r>
      <w:r w:rsidRPr="00EF5629">
        <w:rPr>
          <w:rFonts w:ascii="Avenir Book" w:hAnsi="Avenir Book"/>
          <w:sz w:val="22"/>
          <w:szCs w:val="22"/>
        </w:rPr>
        <w:t>ly</w:t>
      </w:r>
      <w:r>
        <w:rPr>
          <w:rFonts w:ascii="Avenir Book" w:hAnsi="Avenir Book"/>
          <w:sz w:val="22"/>
          <w:szCs w:val="22"/>
        </w:rPr>
        <w:t xml:space="preserve"> a facet</w:t>
      </w:r>
      <w:r w:rsidRPr="00A65F6F">
        <w:rPr>
          <w:rFonts w:ascii="Avenir Book" w:hAnsi="Avenir Book"/>
          <w:sz w:val="22"/>
          <w:szCs w:val="22"/>
        </w:rPr>
        <w:t xml:space="preserve"> of cult</w:t>
      </w:r>
      <w:r>
        <w:rPr>
          <w:rFonts w:ascii="Avenir Book" w:hAnsi="Avenir Book"/>
          <w:sz w:val="22"/>
          <w:szCs w:val="22"/>
        </w:rPr>
        <w:t xml:space="preserve"> – including civic and state cult often subsumed </w:t>
      </w:r>
      <w:r w:rsidR="00FF6E7F">
        <w:rPr>
          <w:rFonts w:ascii="Avenir Book" w:hAnsi="Avenir Book"/>
          <w:sz w:val="22"/>
          <w:szCs w:val="22"/>
        </w:rPr>
        <w:t xml:space="preserve">by modern scholars </w:t>
      </w:r>
      <w:r>
        <w:rPr>
          <w:rFonts w:ascii="Avenir Book" w:hAnsi="Avenir Book"/>
          <w:sz w:val="22"/>
          <w:szCs w:val="22"/>
        </w:rPr>
        <w:t xml:space="preserve">under the domain of politics – that combined piety and </w:t>
      </w:r>
      <w:r w:rsidRPr="00502A14">
        <w:rPr>
          <w:rFonts w:ascii="Avenir Book" w:hAnsi="Avenir Book"/>
          <w:sz w:val="22"/>
          <w:szCs w:val="22"/>
        </w:rPr>
        <w:t>artistry</w:t>
      </w:r>
      <w:r>
        <w:rPr>
          <w:rFonts w:ascii="Avenir Book" w:hAnsi="Avenir Book"/>
          <w:sz w:val="22"/>
          <w:szCs w:val="22"/>
        </w:rPr>
        <w:t>, faith a</w:t>
      </w:r>
      <w:r w:rsidR="0016764F">
        <w:rPr>
          <w:rFonts w:ascii="Avenir Book" w:hAnsi="Avenir Book"/>
          <w:sz w:val="22"/>
          <w:szCs w:val="22"/>
        </w:rPr>
        <w:t>nd ideology, as illustrated by the</w:t>
      </w:r>
      <w:r>
        <w:rPr>
          <w:rFonts w:ascii="Avenir Book" w:hAnsi="Avenir Book"/>
          <w:sz w:val="22"/>
          <w:szCs w:val="22"/>
        </w:rPr>
        <w:t xml:space="preserve"> </w:t>
      </w:r>
      <w:r w:rsidR="0016764F">
        <w:rPr>
          <w:rFonts w:ascii="Avenir Book" w:hAnsi="Avenir Book"/>
          <w:sz w:val="22"/>
          <w:szCs w:val="22"/>
        </w:rPr>
        <w:t>epigraph’s stone inscription</w:t>
      </w:r>
      <w:r w:rsidR="00EA07DB">
        <w:rPr>
          <w:rFonts w:ascii="Avenir Book" w:hAnsi="Avenir Book"/>
          <w:sz w:val="22"/>
          <w:szCs w:val="22"/>
        </w:rPr>
        <w:t xml:space="preserve"> from medieval Tha</w:t>
      </w:r>
      <w:r w:rsidR="00FF6E7F">
        <w:rPr>
          <w:rFonts w:ascii="Avenir Book" w:hAnsi="Avenir Book"/>
          <w:sz w:val="22"/>
          <w:szCs w:val="22"/>
        </w:rPr>
        <w:t>i</w:t>
      </w:r>
      <w:r w:rsidR="00EA07DB">
        <w:rPr>
          <w:rFonts w:ascii="Avenir Book" w:hAnsi="Avenir Book"/>
          <w:sz w:val="22"/>
          <w:szCs w:val="22"/>
        </w:rPr>
        <w:t>land</w:t>
      </w:r>
      <w:r w:rsidR="0016764F">
        <w:rPr>
          <w:rFonts w:ascii="Avenir Book" w:hAnsi="Avenir Book"/>
          <w:sz w:val="22"/>
          <w:szCs w:val="22"/>
        </w:rPr>
        <w:t>, which</w:t>
      </w:r>
      <w:r>
        <w:rPr>
          <w:rFonts w:ascii="Avenir Book" w:hAnsi="Avenir Book"/>
          <w:sz w:val="22"/>
          <w:szCs w:val="22"/>
        </w:rPr>
        <w:t xml:space="preserve"> records the recovery and restoration of dilapidated Buddha images to mark the inauguration of a royal monastery. This approach to caring for artefacts I shall term devotional conservation; its primary motivation, and the worldview</w:t>
      </w:r>
      <w:r w:rsidRPr="00547680">
        <w:rPr>
          <w:rFonts w:ascii="Avenir Book" w:hAnsi="Avenir Book"/>
          <w:sz w:val="22"/>
          <w:szCs w:val="22"/>
        </w:rPr>
        <w:t xml:space="preserve"> </w:t>
      </w:r>
      <w:r>
        <w:rPr>
          <w:rFonts w:ascii="Avenir Book" w:hAnsi="Avenir Book"/>
          <w:sz w:val="22"/>
          <w:szCs w:val="22"/>
        </w:rPr>
        <w:t xml:space="preserve">that underpinned it, differ significantly from modern, scientific conservation, as I argue in what follows.  </w:t>
      </w:r>
    </w:p>
    <w:p w14:paraId="67825DFB" w14:textId="343591C2" w:rsidR="00506265" w:rsidRDefault="00506265" w:rsidP="00506265">
      <w:pPr>
        <w:ind w:firstLine="720"/>
        <w:rPr>
          <w:rFonts w:ascii="Avenir Book" w:hAnsi="Avenir Book"/>
          <w:sz w:val="22"/>
          <w:szCs w:val="22"/>
        </w:rPr>
      </w:pPr>
      <w:r>
        <w:rPr>
          <w:rFonts w:ascii="Avenir Book" w:hAnsi="Avenir Book"/>
          <w:sz w:val="22"/>
          <w:szCs w:val="22"/>
        </w:rPr>
        <w:t>Framed a</w:t>
      </w:r>
      <w:r w:rsidRPr="009A4148">
        <w:rPr>
          <w:rFonts w:ascii="Avenir Book" w:hAnsi="Avenir Book"/>
          <w:sz w:val="22"/>
          <w:szCs w:val="22"/>
        </w:rPr>
        <w:t>l</w:t>
      </w:r>
      <w:r>
        <w:rPr>
          <w:rFonts w:ascii="Avenir Book" w:hAnsi="Avenir Book"/>
          <w:sz w:val="22"/>
          <w:szCs w:val="22"/>
        </w:rPr>
        <w:t>most invariably from the perspective of European cultural history, studies of the twin practices of architectural conservation and restoration place their</w:t>
      </w:r>
      <w:r w:rsidRPr="00BA1CFE">
        <w:rPr>
          <w:rFonts w:ascii="Avenir Book" w:hAnsi="Avenir Book"/>
          <w:sz w:val="22"/>
          <w:szCs w:val="22"/>
        </w:rPr>
        <w:t xml:space="preserve"> </w:t>
      </w:r>
      <w:r>
        <w:rPr>
          <w:rFonts w:ascii="Avenir Book" w:hAnsi="Avenir Book"/>
          <w:sz w:val="22"/>
          <w:szCs w:val="22"/>
        </w:rPr>
        <w:t>intellectual origins in fourteenth-century Italy, at the time of</w:t>
      </w:r>
      <w:r w:rsidRPr="00C1677E">
        <w:rPr>
          <w:rFonts w:ascii="Avenir Book" w:hAnsi="Avenir Book"/>
          <w:sz w:val="22"/>
          <w:szCs w:val="22"/>
        </w:rPr>
        <w:t xml:space="preserve"> </w:t>
      </w:r>
      <w:r>
        <w:rPr>
          <w:rFonts w:ascii="Avenir Book" w:hAnsi="Avenir Book"/>
          <w:sz w:val="22"/>
          <w:szCs w:val="22"/>
        </w:rPr>
        <w:t>the rise of Humanism, and identify its</w:t>
      </w:r>
      <w:r w:rsidRPr="009A4148">
        <w:rPr>
          <w:rFonts w:ascii="Avenir Book" w:hAnsi="Avenir Book"/>
          <w:sz w:val="22"/>
          <w:szCs w:val="22"/>
        </w:rPr>
        <w:t xml:space="preserve"> precursors </w:t>
      </w:r>
      <w:r>
        <w:rPr>
          <w:rFonts w:ascii="Avenir Book" w:hAnsi="Avenir Book"/>
          <w:sz w:val="22"/>
          <w:szCs w:val="22"/>
        </w:rPr>
        <w:t>in the scholar</w:t>
      </w:r>
      <w:r w:rsidRPr="009A4148">
        <w:rPr>
          <w:rFonts w:ascii="Avenir Book" w:hAnsi="Avenir Book"/>
          <w:sz w:val="22"/>
          <w:szCs w:val="22"/>
        </w:rPr>
        <w:t xml:space="preserve">s </w:t>
      </w:r>
      <w:r>
        <w:rPr>
          <w:rFonts w:ascii="Avenir Book" w:hAnsi="Avenir Book"/>
          <w:sz w:val="22"/>
          <w:szCs w:val="22"/>
        </w:rPr>
        <w:t xml:space="preserve">and collectors </w:t>
      </w:r>
      <w:r w:rsidRPr="009A4148">
        <w:rPr>
          <w:rFonts w:ascii="Avenir Book" w:hAnsi="Avenir Book"/>
          <w:sz w:val="22"/>
          <w:szCs w:val="22"/>
        </w:rPr>
        <w:t>who studied and sought to revive classical antiquity</w:t>
      </w:r>
      <w:r>
        <w:rPr>
          <w:rFonts w:ascii="Avenir Book" w:hAnsi="Avenir Book"/>
          <w:sz w:val="22"/>
          <w:szCs w:val="22"/>
        </w:rPr>
        <w:t>.</w:t>
      </w:r>
      <w:r w:rsidRPr="009A4148">
        <w:rPr>
          <w:rStyle w:val="FootnoteReference"/>
          <w:rFonts w:ascii="Avenir Book" w:hAnsi="Avenir Book"/>
          <w:sz w:val="22"/>
          <w:szCs w:val="22"/>
        </w:rPr>
        <w:footnoteReference w:id="7"/>
      </w:r>
      <w:r>
        <w:rPr>
          <w:rFonts w:ascii="Avenir Book" w:hAnsi="Avenir Book"/>
          <w:sz w:val="22"/>
          <w:szCs w:val="22"/>
        </w:rPr>
        <w:t xml:space="preserve"> In this perspective,</w:t>
      </w:r>
      <w:r w:rsidRPr="006C2BB7">
        <w:rPr>
          <w:rFonts w:ascii="Avenir Book" w:hAnsi="Avenir Book"/>
          <w:sz w:val="22"/>
          <w:szCs w:val="22"/>
        </w:rPr>
        <w:t xml:space="preserve"> </w:t>
      </w:r>
      <w:r>
        <w:rPr>
          <w:rFonts w:ascii="Avenir Book" w:hAnsi="Avenir Book"/>
          <w:sz w:val="22"/>
          <w:szCs w:val="22"/>
        </w:rPr>
        <w:t>the history of conservation parallels that of antiquarianism, both valuing material along with textual r</w:t>
      </w:r>
      <w:r w:rsidRPr="00ED107F">
        <w:rPr>
          <w:rFonts w:ascii="Avenir Book" w:hAnsi="Avenir Book"/>
          <w:sz w:val="22"/>
          <w:szCs w:val="22"/>
        </w:rPr>
        <w:t>e</w:t>
      </w:r>
      <w:r>
        <w:rPr>
          <w:rFonts w:ascii="Avenir Book" w:hAnsi="Avenir Book"/>
          <w:sz w:val="22"/>
          <w:szCs w:val="22"/>
        </w:rPr>
        <w:t>mains of the past as entry points into the ancient world, viewed as an object of curiosity.</w:t>
      </w:r>
      <w:r>
        <w:rPr>
          <w:rStyle w:val="FootnoteReference"/>
          <w:rFonts w:ascii="Avenir Book" w:hAnsi="Avenir Book"/>
          <w:sz w:val="22"/>
          <w:szCs w:val="22"/>
        </w:rPr>
        <w:footnoteReference w:id="8"/>
      </w:r>
      <w:r>
        <w:rPr>
          <w:rFonts w:ascii="Avenir Book" w:hAnsi="Avenir Book"/>
          <w:sz w:val="22"/>
          <w:szCs w:val="22"/>
        </w:rPr>
        <w:t xml:space="preserve"> In his </w:t>
      </w:r>
      <w:r w:rsidRPr="00D61A91">
        <w:rPr>
          <w:rFonts w:ascii="Avenir Book" w:hAnsi="Avenir Book"/>
          <w:i/>
          <w:sz w:val="22"/>
          <w:szCs w:val="22"/>
        </w:rPr>
        <w:t xml:space="preserve">De re aedificatoria </w:t>
      </w:r>
      <w:r>
        <w:rPr>
          <w:rFonts w:ascii="Avenir Book" w:hAnsi="Avenir Book"/>
          <w:sz w:val="22"/>
          <w:szCs w:val="22"/>
        </w:rPr>
        <w:t>(1452), Florentine architect Leon Battista Alberti</w:t>
      </w:r>
      <w:r w:rsidR="00AA6AC1">
        <w:rPr>
          <w:rFonts w:ascii="Avenir Book" w:hAnsi="Avenir Book"/>
          <w:sz w:val="22"/>
          <w:szCs w:val="22"/>
        </w:rPr>
        <w:t>, repris</w:t>
      </w:r>
      <w:r w:rsidR="00543E34">
        <w:rPr>
          <w:rFonts w:ascii="Avenir Book" w:hAnsi="Avenir Book"/>
          <w:sz w:val="22"/>
          <w:szCs w:val="22"/>
        </w:rPr>
        <w:t>ing Vitruvius,</w:t>
      </w:r>
      <w:r>
        <w:rPr>
          <w:rFonts w:ascii="Avenir Book" w:hAnsi="Avenir Book"/>
          <w:sz w:val="22"/>
          <w:szCs w:val="22"/>
        </w:rPr>
        <w:t xml:space="preserve"> distinguished three approaches to restoration: </w:t>
      </w:r>
      <w:r w:rsidRPr="009D5667">
        <w:rPr>
          <w:rFonts w:ascii="Avenir Book" w:hAnsi="Avenir Book"/>
          <w:i/>
          <w:sz w:val="22"/>
          <w:szCs w:val="22"/>
        </w:rPr>
        <w:t>emendare</w:t>
      </w:r>
      <w:r>
        <w:rPr>
          <w:rFonts w:ascii="Avenir Book" w:hAnsi="Avenir Book"/>
          <w:sz w:val="22"/>
          <w:szCs w:val="22"/>
        </w:rPr>
        <w:t xml:space="preserve"> (to amend), </w:t>
      </w:r>
      <w:r w:rsidRPr="009D5667">
        <w:rPr>
          <w:rFonts w:ascii="Avenir Book" w:hAnsi="Avenir Book"/>
          <w:i/>
          <w:sz w:val="22"/>
          <w:szCs w:val="22"/>
        </w:rPr>
        <w:t>instaurare</w:t>
      </w:r>
      <w:r>
        <w:rPr>
          <w:rFonts w:ascii="Avenir Book" w:hAnsi="Avenir Book"/>
          <w:sz w:val="22"/>
          <w:szCs w:val="22"/>
        </w:rPr>
        <w:t xml:space="preserve"> (to renovate), and </w:t>
      </w:r>
      <w:r w:rsidRPr="009D5667">
        <w:rPr>
          <w:rFonts w:ascii="Avenir Book" w:hAnsi="Avenir Book"/>
          <w:i/>
          <w:sz w:val="22"/>
          <w:szCs w:val="22"/>
        </w:rPr>
        <w:t>restituire</w:t>
      </w:r>
      <w:r>
        <w:rPr>
          <w:rFonts w:ascii="Avenir Book" w:hAnsi="Avenir Book"/>
          <w:sz w:val="22"/>
          <w:szCs w:val="22"/>
        </w:rPr>
        <w:t xml:space="preserve"> (to return to the original state). A</w:t>
      </w:r>
      <w:r w:rsidRPr="009A4148">
        <w:rPr>
          <w:rFonts w:ascii="Avenir Book" w:hAnsi="Avenir Book"/>
          <w:sz w:val="22"/>
          <w:szCs w:val="22"/>
        </w:rPr>
        <w:t>dmiration for, and imitation</w:t>
      </w:r>
      <w:r>
        <w:rPr>
          <w:rFonts w:ascii="Avenir Book" w:hAnsi="Avenir Book"/>
          <w:sz w:val="22"/>
          <w:szCs w:val="22"/>
        </w:rPr>
        <w:t xml:space="preserve"> of, classical </w:t>
      </w:r>
      <w:r w:rsidRPr="009A4148">
        <w:rPr>
          <w:rFonts w:ascii="Avenir Book" w:hAnsi="Avenir Book"/>
          <w:sz w:val="22"/>
          <w:szCs w:val="22"/>
        </w:rPr>
        <w:t xml:space="preserve">art </w:t>
      </w:r>
      <w:r>
        <w:rPr>
          <w:rFonts w:ascii="Avenir Book" w:hAnsi="Avenir Book"/>
          <w:sz w:val="22"/>
          <w:szCs w:val="22"/>
        </w:rPr>
        <w:t xml:space="preserve">and architecture in the Renaissance did not, in fact, </w:t>
      </w:r>
      <w:r w:rsidRPr="009A4148">
        <w:rPr>
          <w:rFonts w:ascii="Avenir Book" w:hAnsi="Avenir Book"/>
          <w:sz w:val="22"/>
          <w:szCs w:val="22"/>
        </w:rPr>
        <w:t>p</w:t>
      </w:r>
      <w:r>
        <w:rPr>
          <w:rFonts w:ascii="Avenir Book" w:hAnsi="Avenir Book"/>
          <w:sz w:val="22"/>
          <w:szCs w:val="22"/>
        </w:rPr>
        <w:t>ut an end to</w:t>
      </w:r>
      <w:r w:rsidRPr="009A4148">
        <w:rPr>
          <w:rFonts w:ascii="Avenir Book" w:hAnsi="Avenir Book"/>
          <w:sz w:val="22"/>
          <w:szCs w:val="22"/>
        </w:rPr>
        <w:t xml:space="preserve"> </w:t>
      </w:r>
      <w:r>
        <w:rPr>
          <w:rFonts w:ascii="Avenir Book" w:hAnsi="Avenir Book"/>
          <w:sz w:val="22"/>
          <w:szCs w:val="22"/>
        </w:rPr>
        <w:t>the medieval practice of recycling building and sculptural materials from ancient structures</w:t>
      </w:r>
      <w:r w:rsidRPr="009A4148">
        <w:rPr>
          <w:rFonts w:ascii="Avenir Book" w:hAnsi="Avenir Book"/>
          <w:sz w:val="22"/>
          <w:szCs w:val="22"/>
        </w:rPr>
        <w:t xml:space="preserve">. </w:t>
      </w:r>
      <w:r>
        <w:rPr>
          <w:rFonts w:ascii="Avenir Book" w:hAnsi="Avenir Book"/>
          <w:sz w:val="22"/>
          <w:szCs w:val="22"/>
        </w:rPr>
        <w:t>Throughout the middle of the nineteenth century</w:t>
      </w:r>
      <w:r w:rsidRPr="009A4148">
        <w:rPr>
          <w:rFonts w:ascii="Avenir Book" w:hAnsi="Avenir Book"/>
          <w:sz w:val="22"/>
          <w:szCs w:val="22"/>
        </w:rPr>
        <w:t xml:space="preserve"> antiquarian interests accorded with an </w:t>
      </w:r>
      <w:r>
        <w:rPr>
          <w:rFonts w:ascii="Avenir Book" w:hAnsi="Avenir Book"/>
          <w:sz w:val="22"/>
          <w:szCs w:val="22"/>
        </w:rPr>
        <w:t>aesthetic of ruins that approv</w:t>
      </w:r>
      <w:r w:rsidRPr="009A4148">
        <w:rPr>
          <w:rFonts w:ascii="Avenir Book" w:hAnsi="Avenir Book"/>
          <w:sz w:val="22"/>
          <w:szCs w:val="22"/>
        </w:rPr>
        <w:t xml:space="preserve">ed </w:t>
      </w:r>
      <w:r>
        <w:rPr>
          <w:rFonts w:ascii="Avenir Book" w:hAnsi="Avenir Book"/>
          <w:sz w:val="22"/>
          <w:szCs w:val="22"/>
        </w:rPr>
        <w:t xml:space="preserve">of the </w:t>
      </w:r>
      <w:r w:rsidRPr="009A4148">
        <w:rPr>
          <w:rFonts w:ascii="Avenir Book" w:hAnsi="Avenir Book"/>
          <w:sz w:val="22"/>
          <w:szCs w:val="22"/>
        </w:rPr>
        <w:t>seamless reintegration of lacunae and inventive reconstruction</w:t>
      </w:r>
      <w:r>
        <w:rPr>
          <w:rFonts w:ascii="Avenir Book" w:hAnsi="Avenir Book"/>
          <w:sz w:val="22"/>
          <w:szCs w:val="22"/>
        </w:rPr>
        <w:t>s</w:t>
      </w:r>
      <w:r w:rsidRPr="009A4148">
        <w:rPr>
          <w:rFonts w:ascii="Avenir Book" w:hAnsi="Avenir Book"/>
          <w:sz w:val="22"/>
          <w:szCs w:val="22"/>
        </w:rPr>
        <w:t>.</w:t>
      </w:r>
      <w:r>
        <w:rPr>
          <w:rFonts w:ascii="Avenir Book" w:hAnsi="Avenir Book"/>
          <w:sz w:val="22"/>
          <w:szCs w:val="22"/>
        </w:rPr>
        <w:t xml:space="preserve"> In the entry ‘Restoration’ of his </w:t>
      </w:r>
      <w:r w:rsidRPr="00220D2E">
        <w:rPr>
          <w:rFonts w:ascii="Avenir Book" w:hAnsi="Avenir Book"/>
          <w:i/>
          <w:sz w:val="22"/>
          <w:szCs w:val="22"/>
        </w:rPr>
        <w:t>Dictionary of French Architecture</w:t>
      </w:r>
      <w:r>
        <w:rPr>
          <w:rFonts w:ascii="Avenir Book" w:hAnsi="Avenir Book"/>
          <w:sz w:val="22"/>
          <w:szCs w:val="22"/>
        </w:rPr>
        <w:t>,</w:t>
      </w:r>
      <w:r w:rsidRPr="009A4148">
        <w:rPr>
          <w:rFonts w:ascii="Avenir Book" w:hAnsi="Avenir Book"/>
          <w:sz w:val="22"/>
          <w:szCs w:val="22"/>
        </w:rPr>
        <w:t xml:space="preserve"> </w:t>
      </w:r>
      <w:r>
        <w:rPr>
          <w:rFonts w:ascii="Avenir Book" w:hAnsi="Avenir Book"/>
          <w:sz w:val="22"/>
          <w:szCs w:val="22"/>
        </w:rPr>
        <w:t xml:space="preserve">the influential architect </w:t>
      </w:r>
      <w:r w:rsidRPr="009A4148">
        <w:rPr>
          <w:rFonts w:ascii="Avenir Book" w:hAnsi="Avenir Book"/>
          <w:sz w:val="22"/>
          <w:szCs w:val="22"/>
        </w:rPr>
        <w:t>Eugene Viollet-le-Duc</w:t>
      </w:r>
      <w:r>
        <w:rPr>
          <w:rFonts w:ascii="Avenir Book" w:hAnsi="Avenir Book"/>
          <w:sz w:val="22"/>
          <w:szCs w:val="22"/>
        </w:rPr>
        <w:t xml:space="preserve"> stated </w:t>
      </w:r>
      <w:r w:rsidRPr="00682964">
        <w:rPr>
          <w:rFonts w:ascii="Avenir Book" w:hAnsi="Avenir Book"/>
          <w:sz w:val="22"/>
          <w:szCs w:val="22"/>
        </w:rPr>
        <w:t>unambiguous</w:t>
      </w:r>
      <w:r>
        <w:rPr>
          <w:rFonts w:ascii="Avenir Book" w:hAnsi="Avenir Book"/>
          <w:sz w:val="22"/>
          <w:szCs w:val="22"/>
        </w:rPr>
        <w:t>ly, “</w:t>
      </w:r>
      <w:r w:rsidRPr="009A4148">
        <w:rPr>
          <w:rFonts w:ascii="Avenir Book" w:hAnsi="Avenir Book"/>
          <w:sz w:val="22"/>
          <w:szCs w:val="22"/>
        </w:rPr>
        <w:t>The term and t</w:t>
      </w:r>
      <w:r>
        <w:rPr>
          <w:rFonts w:ascii="Avenir Book" w:hAnsi="Avenir Book"/>
          <w:sz w:val="22"/>
          <w:szCs w:val="22"/>
        </w:rPr>
        <w:t>he thing itself are both modern,” and went on to opine: “</w:t>
      </w:r>
      <w:r w:rsidRPr="006B5792">
        <w:rPr>
          <w:rFonts w:ascii="Avenir Book" w:hAnsi="Avenir Book"/>
          <w:sz w:val="22"/>
          <w:szCs w:val="22"/>
        </w:rPr>
        <w:t>To restore a building is not to preserve it, to repair or rebuild it; it is to reinstate it in a condition of completeness that could never have existed at any given time</w:t>
      </w:r>
      <w:r>
        <w:rPr>
          <w:rFonts w:ascii="Avenir Book" w:hAnsi="Avenir Book"/>
          <w:sz w:val="22"/>
          <w:szCs w:val="22"/>
        </w:rPr>
        <w:t>”</w:t>
      </w:r>
      <w:r w:rsidRPr="006B5792">
        <w:rPr>
          <w:rStyle w:val="FootnoteReference"/>
          <w:rFonts w:ascii="Avenir Book" w:hAnsi="Avenir Book"/>
          <w:sz w:val="22"/>
          <w:szCs w:val="22"/>
        </w:rPr>
        <w:footnoteReference w:id="9"/>
      </w:r>
      <w:r>
        <w:rPr>
          <w:rFonts w:ascii="Avenir Book" w:hAnsi="Avenir Book"/>
          <w:sz w:val="22"/>
          <w:szCs w:val="22"/>
        </w:rPr>
        <w:t xml:space="preserve"> (</w:t>
      </w:r>
      <w:r w:rsidRPr="006B5792">
        <w:rPr>
          <w:rFonts w:ascii="Avenir Book" w:hAnsi="Avenir Book"/>
          <w:sz w:val="22"/>
          <w:szCs w:val="22"/>
        </w:rPr>
        <w:t>a</w:t>
      </w:r>
      <w:r>
        <w:rPr>
          <w:rFonts w:ascii="Avenir Book" w:hAnsi="Avenir Book"/>
          <w:sz w:val="22"/>
          <w:szCs w:val="22"/>
        </w:rPr>
        <w:t xml:space="preserve">n objective </w:t>
      </w:r>
      <w:r w:rsidRPr="009A4148">
        <w:rPr>
          <w:rFonts w:ascii="Avenir Book" w:hAnsi="Avenir Book"/>
          <w:sz w:val="22"/>
          <w:szCs w:val="22"/>
        </w:rPr>
        <w:t>Viollet-le-Duc</w:t>
      </w:r>
      <w:r>
        <w:rPr>
          <w:rFonts w:ascii="Avenir Book" w:hAnsi="Avenir Book"/>
          <w:sz w:val="22"/>
          <w:szCs w:val="22"/>
        </w:rPr>
        <w:t xml:space="preserve"> pursued in his </w:t>
      </w:r>
      <w:r w:rsidRPr="006B5792">
        <w:rPr>
          <w:rFonts w:ascii="Avenir Book" w:hAnsi="Avenir Book"/>
          <w:sz w:val="22"/>
          <w:szCs w:val="22"/>
        </w:rPr>
        <w:t>controversial restor</w:t>
      </w:r>
      <w:r>
        <w:rPr>
          <w:rFonts w:ascii="Avenir Book" w:hAnsi="Avenir Book"/>
          <w:sz w:val="22"/>
          <w:szCs w:val="22"/>
        </w:rPr>
        <w:t>ations of France’s Gothic cathedrals, by which he sought to recreate an imagined stylistic coherence).</w:t>
      </w:r>
      <w:r w:rsidRPr="006B5792">
        <w:rPr>
          <w:rFonts w:ascii="Avenir Book" w:hAnsi="Avenir Book"/>
          <w:sz w:val="22"/>
          <w:szCs w:val="22"/>
        </w:rPr>
        <w:t xml:space="preserve"> </w:t>
      </w:r>
    </w:p>
    <w:p w14:paraId="0F5C42A6" w14:textId="2D9C865A" w:rsidR="00506265" w:rsidRDefault="00506265" w:rsidP="00506265">
      <w:pPr>
        <w:ind w:firstLine="720"/>
        <w:rPr>
          <w:rFonts w:ascii="Avenir Book" w:hAnsi="Avenir Book"/>
          <w:sz w:val="22"/>
          <w:szCs w:val="22"/>
        </w:rPr>
      </w:pPr>
      <w:r>
        <w:rPr>
          <w:rFonts w:ascii="Avenir Book" w:hAnsi="Avenir Book"/>
          <w:sz w:val="22"/>
          <w:szCs w:val="22"/>
        </w:rPr>
        <w:t xml:space="preserve">Written as the </w:t>
      </w:r>
      <w:r w:rsidRPr="008D4BC0">
        <w:rPr>
          <w:rFonts w:ascii="Avenir Book" w:hAnsi="Avenir Book"/>
          <w:sz w:val="22"/>
          <w:szCs w:val="22"/>
        </w:rPr>
        <w:t>preamble</w:t>
      </w:r>
      <w:r>
        <w:rPr>
          <w:rFonts w:ascii="Avenir Book" w:hAnsi="Avenir Book"/>
          <w:sz w:val="22"/>
          <w:szCs w:val="22"/>
        </w:rPr>
        <w:t xml:space="preserve"> to his report for the Austrian Commission for Monument Preservation, Alois </w:t>
      </w:r>
      <w:r w:rsidRPr="00A65F6F">
        <w:rPr>
          <w:rFonts w:ascii="Avenir Book" w:hAnsi="Avenir Book"/>
          <w:sz w:val="22"/>
          <w:szCs w:val="22"/>
        </w:rPr>
        <w:t>Riegl</w:t>
      </w:r>
      <w:r>
        <w:rPr>
          <w:rFonts w:ascii="Avenir Book" w:hAnsi="Avenir Book"/>
          <w:sz w:val="22"/>
          <w:szCs w:val="22"/>
        </w:rPr>
        <w:t xml:space="preserve">’s </w:t>
      </w:r>
      <w:r w:rsidRPr="00D65D3C">
        <w:rPr>
          <w:rFonts w:ascii="Avenir Book" w:hAnsi="Avenir Book"/>
          <w:i/>
          <w:sz w:val="22"/>
          <w:szCs w:val="22"/>
        </w:rPr>
        <w:t>The modern cult of monuments</w:t>
      </w:r>
      <w:r>
        <w:rPr>
          <w:rFonts w:ascii="Avenir Book" w:hAnsi="Avenir Book"/>
          <w:sz w:val="22"/>
          <w:szCs w:val="22"/>
        </w:rPr>
        <w:t xml:space="preserve"> (</w:t>
      </w:r>
      <w:r w:rsidRPr="008E32B3">
        <w:rPr>
          <w:rFonts w:ascii="Avenir Book" w:hAnsi="Avenir Book"/>
          <w:i/>
          <w:sz w:val="22"/>
          <w:szCs w:val="22"/>
        </w:rPr>
        <w:t>Der moderne Denkmalkultus</w:t>
      </w:r>
      <w:r>
        <w:rPr>
          <w:rFonts w:ascii="Avenir Book" w:hAnsi="Avenir Book"/>
          <w:sz w:val="22"/>
          <w:szCs w:val="22"/>
        </w:rPr>
        <w:t>, 1903) is</w:t>
      </w:r>
      <w:r w:rsidRPr="00D464FB">
        <w:rPr>
          <w:rFonts w:ascii="Avenir Book" w:hAnsi="Avenir Book"/>
          <w:sz w:val="22"/>
          <w:szCs w:val="22"/>
        </w:rPr>
        <w:t xml:space="preserve"> </w:t>
      </w:r>
      <w:r>
        <w:rPr>
          <w:rFonts w:ascii="Avenir Book" w:hAnsi="Avenir Book"/>
          <w:sz w:val="22"/>
          <w:szCs w:val="22"/>
        </w:rPr>
        <w:t>regarded as modern conservation’s theoretical manifesto.</w:t>
      </w:r>
      <w:r>
        <w:rPr>
          <w:rStyle w:val="FootnoteReference"/>
          <w:rFonts w:ascii="Avenir Book" w:hAnsi="Avenir Book"/>
          <w:sz w:val="22"/>
          <w:szCs w:val="22"/>
        </w:rPr>
        <w:footnoteReference w:id="10"/>
      </w:r>
      <w:r w:rsidRPr="001461E7">
        <w:rPr>
          <w:rFonts w:ascii="Avenir Book" w:hAnsi="Avenir Book"/>
          <w:sz w:val="22"/>
          <w:szCs w:val="22"/>
        </w:rPr>
        <w:t xml:space="preserve"> </w:t>
      </w:r>
      <w:r>
        <w:rPr>
          <w:rFonts w:ascii="Avenir Book" w:hAnsi="Avenir Book"/>
          <w:sz w:val="22"/>
          <w:szCs w:val="22"/>
        </w:rPr>
        <w:t xml:space="preserve">Although the expression </w:t>
      </w:r>
      <w:r w:rsidRPr="005B15CD">
        <w:rPr>
          <w:rFonts w:ascii="Avenir Book" w:hAnsi="Avenir Book"/>
          <w:i/>
          <w:sz w:val="22"/>
          <w:szCs w:val="22"/>
        </w:rPr>
        <w:t>Denkmalkultus</w:t>
      </w:r>
      <w:r>
        <w:rPr>
          <w:rFonts w:ascii="Avenir Book" w:hAnsi="Avenir Book"/>
          <w:sz w:val="22"/>
          <w:szCs w:val="22"/>
        </w:rPr>
        <w:t xml:space="preserve"> is closer in meaning to appreciation than cult of monuments, in discussing their “age value” (one class in a triadic categorization including “historical value” and “commemorative value”), Riegl likened the universality of its appeal</w:t>
      </w:r>
      <w:r w:rsidRPr="0023032F">
        <w:rPr>
          <w:rFonts w:ascii="Avenir Book" w:hAnsi="Avenir Book"/>
          <w:sz w:val="22"/>
          <w:szCs w:val="22"/>
        </w:rPr>
        <w:t xml:space="preserve"> </w:t>
      </w:r>
      <w:r>
        <w:rPr>
          <w:rFonts w:ascii="Avenir Book" w:hAnsi="Avenir Book"/>
          <w:sz w:val="22"/>
          <w:szCs w:val="22"/>
        </w:rPr>
        <w:t xml:space="preserve">(from a modern Western perspective) to that of religious sentiment, both capable of stirring emotional responses in beholders regardless of their education. Riegl also remarked </w:t>
      </w:r>
      <w:r w:rsidRPr="00D9391C">
        <w:rPr>
          <w:rFonts w:ascii="Avenir Book" w:hAnsi="Avenir Book"/>
          <w:sz w:val="22"/>
          <w:szCs w:val="22"/>
        </w:rPr>
        <w:t>t</w:t>
      </w:r>
      <w:r>
        <w:rPr>
          <w:rFonts w:ascii="Avenir Book" w:hAnsi="Avenir Book"/>
          <w:sz w:val="22"/>
          <w:szCs w:val="22"/>
        </w:rPr>
        <w:t xml:space="preserve">hat the </w:t>
      </w:r>
      <w:r w:rsidRPr="00D9391C">
        <w:rPr>
          <w:rFonts w:ascii="Avenir Book" w:hAnsi="Avenir Book"/>
          <w:sz w:val="22"/>
          <w:szCs w:val="22"/>
        </w:rPr>
        <w:t xml:space="preserve">continuing use </w:t>
      </w:r>
      <w:r>
        <w:rPr>
          <w:rFonts w:ascii="Avenir Book" w:hAnsi="Avenir Book"/>
          <w:sz w:val="22"/>
          <w:szCs w:val="22"/>
        </w:rPr>
        <w:t>of historic churches as places of worship demands that they</w:t>
      </w:r>
      <w:r w:rsidRPr="00D9391C">
        <w:rPr>
          <w:rFonts w:ascii="Avenir Book" w:hAnsi="Avenir Book"/>
          <w:sz w:val="22"/>
          <w:szCs w:val="22"/>
        </w:rPr>
        <w:t xml:space="preserve"> be not only structurally so</w:t>
      </w:r>
      <w:r>
        <w:rPr>
          <w:rFonts w:ascii="Avenir Book" w:hAnsi="Avenir Book"/>
          <w:sz w:val="22"/>
          <w:szCs w:val="22"/>
        </w:rPr>
        <w:t>und, but also pristine in appearance—even as he</w:t>
      </w:r>
      <w:r w:rsidRPr="00D9391C">
        <w:rPr>
          <w:rFonts w:ascii="Avenir Book" w:hAnsi="Avenir Book"/>
          <w:sz w:val="22"/>
          <w:szCs w:val="22"/>
        </w:rPr>
        <w:t xml:space="preserve"> </w:t>
      </w:r>
      <w:r>
        <w:rPr>
          <w:rFonts w:ascii="Avenir Book" w:hAnsi="Avenir Book"/>
          <w:sz w:val="22"/>
          <w:szCs w:val="22"/>
        </w:rPr>
        <w:t xml:space="preserve">noted the </w:t>
      </w:r>
      <w:r w:rsidRPr="00D9391C">
        <w:rPr>
          <w:rFonts w:ascii="Avenir Book" w:hAnsi="Avenir Book"/>
          <w:sz w:val="22"/>
          <w:szCs w:val="22"/>
        </w:rPr>
        <w:t>g</w:t>
      </w:r>
      <w:r>
        <w:rPr>
          <w:rFonts w:ascii="Avenir Book" w:hAnsi="Avenir Book"/>
          <w:sz w:val="22"/>
          <w:szCs w:val="22"/>
        </w:rPr>
        <w:t>row</w:t>
      </w:r>
      <w:r w:rsidRPr="00D9391C">
        <w:rPr>
          <w:rFonts w:ascii="Avenir Book" w:hAnsi="Avenir Book"/>
          <w:sz w:val="22"/>
          <w:szCs w:val="22"/>
        </w:rPr>
        <w:t xml:space="preserve">ing </w:t>
      </w:r>
      <w:r>
        <w:rPr>
          <w:rFonts w:ascii="Avenir Book" w:hAnsi="Avenir Book"/>
          <w:sz w:val="22"/>
          <w:szCs w:val="22"/>
        </w:rPr>
        <w:t>concern</w:t>
      </w:r>
      <w:r w:rsidRPr="00D9391C">
        <w:rPr>
          <w:rFonts w:ascii="Avenir Book" w:hAnsi="Avenir Book"/>
          <w:sz w:val="22"/>
          <w:szCs w:val="22"/>
        </w:rPr>
        <w:t xml:space="preserve"> for historical authenticity </w:t>
      </w:r>
      <w:r>
        <w:rPr>
          <w:rFonts w:ascii="Avenir Book" w:hAnsi="Avenir Book"/>
          <w:sz w:val="22"/>
          <w:szCs w:val="22"/>
        </w:rPr>
        <w:t xml:space="preserve">as the cause of </w:t>
      </w:r>
      <w:r w:rsidRPr="00D9391C">
        <w:rPr>
          <w:rFonts w:ascii="Avenir Book" w:hAnsi="Avenir Book"/>
          <w:sz w:val="22"/>
          <w:szCs w:val="22"/>
        </w:rPr>
        <w:t xml:space="preserve">dissatisfaction with </w:t>
      </w:r>
      <w:r>
        <w:rPr>
          <w:rFonts w:ascii="Avenir Book" w:hAnsi="Avenir Book"/>
          <w:sz w:val="22"/>
          <w:szCs w:val="22"/>
        </w:rPr>
        <w:t xml:space="preserve">earlier </w:t>
      </w:r>
      <w:r w:rsidRPr="00D9391C">
        <w:rPr>
          <w:rFonts w:ascii="Avenir Book" w:hAnsi="Avenir Book"/>
          <w:sz w:val="22"/>
          <w:szCs w:val="22"/>
        </w:rPr>
        <w:t>“stylistic restoration”</w:t>
      </w:r>
      <w:r>
        <w:rPr>
          <w:rFonts w:ascii="Avenir Book" w:hAnsi="Avenir Book"/>
          <w:sz w:val="22"/>
          <w:szCs w:val="22"/>
        </w:rPr>
        <w:t xml:space="preserve"> à la Viollet-le-Duc</w:t>
      </w:r>
      <w:r w:rsidR="00543E34">
        <w:rPr>
          <w:rFonts w:ascii="Avenir Book" w:hAnsi="Avenir Book"/>
          <w:sz w:val="22"/>
          <w:szCs w:val="22"/>
        </w:rPr>
        <w:t xml:space="preserve"> </w:t>
      </w:r>
      <w:r w:rsidR="005774BC">
        <w:rPr>
          <w:rFonts w:ascii="Avenir Book" w:hAnsi="Avenir Book"/>
          <w:sz w:val="22"/>
          <w:szCs w:val="22"/>
        </w:rPr>
        <w:t xml:space="preserve">(previously stigmatized for producing falsifications by John Ruskin, </w:t>
      </w:r>
      <w:r w:rsidR="005774BC" w:rsidRPr="000F1E30">
        <w:rPr>
          <w:rFonts w:ascii="Avenir Book" w:hAnsi="Avenir Book"/>
          <w:sz w:val="22"/>
          <w:szCs w:val="22"/>
        </w:rPr>
        <w:t>champion</w:t>
      </w:r>
      <w:r w:rsidR="005774BC">
        <w:rPr>
          <w:rFonts w:ascii="Avenir Book" w:hAnsi="Avenir Book"/>
          <w:sz w:val="22"/>
          <w:szCs w:val="22"/>
        </w:rPr>
        <w:t xml:space="preserve"> of the Romantic aesthetic of ruins that resonated in Riegl’s “age value”)</w:t>
      </w:r>
      <w:r w:rsidR="005774BC" w:rsidRPr="00D9391C">
        <w:rPr>
          <w:rFonts w:ascii="Avenir Book" w:hAnsi="Avenir Book"/>
          <w:sz w:val="22"/>
          <w:szCs w:val="22"/>
        </w:rPr>
        <w:t>.</w:t>
      </w:r>
      <w:r w:rsidR="005774BC">
        <w:rPr>
          <w:rFonts w:ascii="Avenir Book" w:hAnsi="Avenir Book"/>
          <w:sz w:val="22"/>
          <w:szCs w:val="22"/>
        </w:rPr>
        <w:t xml:space="preserve"> </w:t>
      </w:r>
    </w:p>
    <w:p w14:paraId="61759353" w14:textId="1D2AA25A" w:rsidR="00506265" w:rsidRDefault="00506265" w:rsidP="00506265">
      <w:pPr>
        <w:ind w:firstLine="720"/>
        <w:rPr>
          <w:rFonts w:ascii="Avenir Book" w:hAnsi="Avenir Book"/>
          <w:sz w:val="22"/>
          <w:szCs w:val="22"/>
        </w:rPr>
      </w:pPr>
      <w:r>
        <w:rPr>
          <w:rFonts w:ascii="Avenir Book" w:hAnsi="Avenir Book"/>
          <w:sz w:val="22"/>
          <w:szCs w:val="22"/>
        </w:rPr>
        <w:t>Emerging in an intellectual climate dominated by historicism and positivism, the modern idea of conse</w:t>
      </w:r>
      <w:r w:rsidRPr="009A4148">
        <w:rPr>
          <w:rFonts w:ascii="Avenir Book" w:hAnsi="Avenir Book"/>
          <w:sz w:val="22"/>
          <w:szCs w:val="22"/>
        </w:rPr>
        <w:t>r</w:t>
      </w:r>
      <w:r>
        <w:rPr>
          <w:rFonts w:ascii="Avenir Book" w:hAnsi="Avenir Book"/>
          <w:sz w:val="22"/>
          <w:szCs w:val="22"/>
        </w:rPr>
        <w:t>vation as a technical</w:t>
      </w:r>
      <w:r w:rsidRPr="009A4148">
        <w:rPr>
          <w:rFonts w:ascii="Avenir Book" w:hAnsi="Avenir Book"/>
          <w:sz w:val="22"/>
          <w:szCs w:val="22"/>
        </w:rPr>
        <w:t>-scientific procedure</w:t>
      </w:r>
      <w:r>
        <w:rPr>
          <w:rFonts w:ascii="Avenir Book" w:hAnsi="Avenir Book"/>
          <w:sz w:val="22"/>
          <w:szCs w:val="22"/>
        </w:rPr>
        <w:t xml:space="preserve"> informed by</w:t>
      </w:r>
      <w:r w:rsidRPr="009A4148">
        <w:rPr>
          <w:rFonts w:ascii="Avenir Book" w:hAnsi="Avenir Book"/>
          <w:sz w:val="22"/>
          <w:szCs w:val="22"/>
        </w:rPr>
        <w:t xml:space="preserve"> the emp</w:t>
      </w:r>
      <w:r>
        <w:rPr>
          <w:rFonts w:ascii="Avenir Book" w:hAnsi="Avenir Book"/>
          <w:sz w:val="22"/>
          <w:szCs w:val="22"/>
        </w:rPr>
        <w:t xml:space="preserve">irical knowledge of the past accrued </w:t>
      </w:r>
      <w:r w:rsidRPr="009A4148">
        <w:rPr>
          <w:rFonts w:ascii="Avenir Book" w:hAnsi="Avenir Book"/>
          <w:sz w:val="22"/>
          <w:szCs w:val="22"/>
        </w:rPr>
        <w:t xml:space="preserve">by </w:t>
      </w:r>
      <w:r>
        <w:rPr>
          <w:rFonts w:ascii="Avenir Book" w:hAnsi="Avenir Book"/>
          <w:sz w:val="22"/>
          <w:szCs w:val="22"/>
        </w:rPr>
        <w:t xml:space="preserve">the </w:t>
      </w:r>
      <w:r w:rsidRPr="009A4148">
        <w:rPr>
          <w:rFonts w:ascii="Avenir Book" w:hAnsi="Avenir Book"/>
          <w:sz w:val="22"/>
          <w:szCs w:val="22"/>
        </w:rPr>
        <w:t xml:space="preserve">disciplines </w:t>
      </w:r>
      <w:r>
        <w:rPr>
          <w:rFonts w:ascii="Avenir Book" w:hAnsi="Avenir Book"/>
          <w:sz w:val="22"/>
          <w:szCs w:val="22"/>
        </w:rPr>
        <w:t xml:space="preserve">of </w:t>
      </w:r>
      <w:r w:rsidRPr="009A4148">
        <w:rPr>
          <w:rFonts w:ascii="Avenir Book" w:hAnsi="Avenir Book"/>
          <w:sz w:val="22"/>
          <w:szCs w:val="22"/>
        </w:rPr>
        <w:t>history, art history</w:t>
      </w:r>
      <w:r>
        <w:rPr>
          <w:rFonts w:ascii="Avenir Book" w:hAnsi="Avenir Book"/>
          <w:sz w:val="22"/>
          <w:szCs w:val="22"/>
        </w:rPr>
        <w:t>,</w:t>
      </w:r>
      <w:r w:rsidRPr="009A4148">
        <w:rPr>
          <w:rFonts w:ascii="Avenir Book" w:hAnsi="Avenir Book"/>
          <w:sz w:val="22"/>
          <w:szCs w:val="22"/>
        </w:rPr>
        <w:t xml:space="preserve"> and archaeology</w:t>
      </w:r>
      <w:r>
        <w:rPr>
          <w:rFonts w:ascii="Avenir Book" w:hAnsi="Avenir Book"/>
          <w:sz w:val="22"/>
          <w:szCs w:val="22"/>
        </w:rPr>
        <w:t>, was also</w:t>
      </w:r>
      <w:r w:rsidRPr="009A4148">
        <w:rPr>
          <w:rFonts w:ascii="Avenir Book" w:hAnsi="Avenir Book"/>
          <w:sz w:val="22"/>
          <w:szCs w:val="22"/>
        </w:rPr>
        <w:t xml:space="preserve"> consistent with the nationalist project of institutionalizing </w:t>
      </w:r>
      <w:r>
        <w:rPr>
          <w:rFonts w:ascii="Avenir Book" w:hAnsi="Avenir Book"/>
          <w:sz w:val="22"/>
          <w:szCs w:val="22"/>
        </w:rPr>
        <w:t xml:space="preserve">a </w:t>
      </w:r>
      <w:r w:rsidRPr="00EF5629">
        <w:rPr>
          <w:rFonts w:ascii="Avenir Book" w:hAnsi="Avenir Book"/>
          <w:sz w:val="22"/>
          <w:szCs w:val="22"/>
        </w:rPr>
        <w:t>professedly</w:t>
      </w:r>
      <w:r>
        <w:rPr>
          <w:rFonts w:ascii="Avenir Book" w:hAnsi="Avenir Book"/>
          <w:sz w:val="22"/>
          <w:szCs w:val="22"/>
        </w:rPr>
        <w:t xml:space="preserve"> shared culture </w:t>
      </w:r>
      <w:r w:rsidRPr="009A4148">
        <w:rPr>
          <w:rFonts w:ascii="Avenir Book" w:hAnsi="Avenir Book"/>
          <w:sz w:val="22"/>
          <w:szCs w:val="22"/>
        </w:rPr>
        <w:t>as a source of, and rallying point for, collective identity</w:t>
      </w:r>
      <w:r>
        <w:rPr>
          <w:rFonts w:ascii="Avenir Book" w:hAnsi="Avenir Book"/>
          <w:sz w:val="22"/>
          <w:szCs w:val="22"/>
        </w:rPr>
        <w:t xml:space="preserve"> —heritage, in the now </w:t>
      </w:r>
      <w:r w:rsidRPr="009A4148">
        <w:rPr>
          <w:rFonts w:ascii="Avenir Book" w:hAnsi="Avenir Book"/>
          <w:sz w:val="22"/>
          <w:szCs w:val="22"/>
        </w:rPr>
        <w:t xml:space="preserve">current </w:t>
      </w:r>
      <w:r>
        <w:rPr>
          <w:rFonts w:ascii="Avenir Book" w:hAnsi="Avenir Book"/>
          <w:sz w:val="22"/>
          <w:szCs w:val="22"/>
        </w:rPr>
        <w:t>sense of the word. In 1931, at a time when colonial powers still dictated the world order, the first International Congress</w:t>
      </w:r>
      <w:r w:rsidRPr="009A4148">
        <w:rPr>
          <w:rFonts w:ascii="Avenir Book" w:hAnsi="Avenir Book"/>
          <w:sz w:val="22"/>
          <w:szCs w:val="22"/>
        </w:rPr>
        <w:t xml:space="preserve"> of </w:t>
      </w:r>
      <w:r>
        <w:rPr>
          <w:rFonts w:ascii="Avenir Book" w:hAnsi="Avenir Book"/>
          <w:sz w:val="22"/>
          <w:szCs w:val="22"/>
        </w:rPr>
        <w:t xml:space="preserve">Architects and Technicians of Historic Monument gave historic </w:t>
      </w:r>
      <w:r w:rsidRPr="009A4148">
        <w:rPr>
          <w:rFonts w:ascii="Avenir Book" w:hAnsi="Avenir Book"/>
          <w:sz w:val="22"/>
          <w:szCs w:val="22"/>
        </w:rPr>
        <w:t>conser</w:t>
      </w:r>
      <w:r>
        <w:rPr>
          <w:rFonts w:ascii="Avenir Book" w:hAnsi="Avenir Book"/>
          <w:sz w:val="22"/>
          <w:szCs w:val="22"/>
        </w:rPr>
        <w:t xml:space="preserve">vation a global mandate by drafting </w:t>
      </w:r>
      <w:r w:rsidRPr="009A4148">
        <w:rPr>
          <w:rFonts w:ascii="Avenir Book" w:hAnsi="Avenir Book"/>
          <w:sz w:val="22"/>
          <w:szCs w:val="22"/>
        </w:rPr>
        <w:t>the Athens Charter for the Restoration of Historic Monuments.</w:t>
      </w:r>
      <w:r>
        <w:rPr>
          <w:rFonts w:ascii="Avenir Book" w:hAnsi="Avenir Book"/>
          <w:sz w:val="22"/>
          <w:szCs w:val="22"/>
        </w:rPr>
        <w:t xml:space="preserve"> In 1964, following the unprecedented destruction wrought on European cities by the Second World War, the Athens Charter’s seven articles were expanded into the sixteen articles of the Venice Charter. Article 3 of the latter states: ’The intention of conserving and restoring monuments is to safeguard them no less as works of art than as historical evidence’. Since 1972, the ‘duty to conserve’ has been embraced on an international scale under the auspices of the UNESCO Convention for the Protection of the Cultural and Natural Heritage. The Convention’s h</w:t>
      </w:r>
      <w:r w:rsidR="00AA6AC1">
        <w:rPr>
          <w:rFonts w:ascii="Avenir Book" w:hAnsi="Avenir Book"/>
          <w:sz w:val="22"/>
          <w:szCs w:val="22"/>
        </w:rPr>
        <w:t xml:space="preserve">istoricist rationale, whereby </w:t>
      </w:r>
      <w:r w:rsidR="00A2662E">
        <w:rPr>
          <w:rFonts w:ascii="Avenir Book" w:hAnsi="Avenir Book"/>
          <w:sz w:val="22"/>
          <w:szCs w:val="22"/>
        </w:rPr>
        <w:t xml:space="preserve">the </w:t>
      </w:r>
      <w:r w:rsidR="000B55D5">
        <w:rPr>
          <w:rFonts w:ascii="Avenir Book" w:hAnsi="Avenir Book"/>
          <w:sz w:val="22"/>
          <w:szCs w:val="22"/>
        </w:rPr>
        <w:t>authenticity</w:t>
      </w:r>
      <w:r w:rsidR="00A2662E">
        <w:rPr>
          <w:rFonts w:ascii="Avenir Book" w:hAnsi="Avenir Book"/>
          <w:sz w:val="22"/>
          <w:szCs w:val="22"/>
        </w:rPr>
        <w:t xml:space="preserve"> of a built structure</w:t>
      </w:r>
      <w:r w:rsidR="000B55D5">
        <w:rPr>
          <w:rFonts w:ascii="Avenir Book" w:hAnsi="Avenir Book"/>
          <w:sz w:val="22"/>
          <w:szCs w:val="22"/>
        </w:rPr>
        <w:t xml:space="preserve"> i</w:t>
      </w:r>
      <w:r w:rsidR="00607B4A">
        <w:rPr>
          <w:rFonts w:ascii="Avenir Book" w:hAnsi="Avenir Book"/>
          <w:sz w:val="22"/>
          <w:szCs w:val="22"/>
        </w:rPr>
        <w:t>s</w:t>
      </w:r>
      <w:r w:rsidR="00A2662E">
        <w:rPr>
          <w:rFonts w:ascii="Avenir Book" w:hAnsi="Avenir Book"/>
          <w:sz w:val="22"/>
          <w:szCs w:val="22"/>
        </w:rPr>
        <w:t xml:space="preserve"> </w:t>
      </w:r>
      <w:r w:rsidR="000B55D5">
        <w:rPr>
          <w:rFonts w:ascii="Avenir Book" w:hAnsi="Avenir Book"/>
          <w:sz w:val="22"/>
          <w:szCs w:val="22"/>
        </w:rPr>
        <w:t xml:space="preserve">measured by the extent of preservation of its </w:t>
      </w:r>
      <w:r w:rsidR="00AA6AC1">
        <w:rPr>
          <w:rFonts w:ascii="Avenir Book" w:hAnsi="Avenir Book"/>
          <w:sz w:val="22"/>
          <w:szCs w:val="22"/>
        </w:rPr>
        <w:t xml:space="preserve">physical </w:t>
      </w:r>
      <w:r w:rsidR="000B55D5">
        <w:rPr>
          <w:rFonts w:ascii="Avenir Book" w:hAnsi="Avenir Book"/>
          <w:sz w:val="22"/>
          <w:szCs w:val="22"/>
        </w:rPr>
        <w:t>fabric</w:t>
      </w:r>
      <w:r>
        <w:rPr>
          <w:rFonts w:ascii="Avenir Book" w:hAnsi="Avenir Book"/>
          <w:sz w:val="22"/>
          <w:szCs w:val="22"/>
        </w:rPr>
        <w:t>,</w:t>
      </w:r>
      <w:r w:rsidR="00AA6AC1">
        <w:rPr>
          <w:rFonts w:ascii="Avenir Book" w:hAnsi="Avenir Book"/>
          <w:sz w:val="22"/>
          <w:szCs w:val="22"/>
        </w:rPr>
        <w:t xml:space="preserve"> prevailed throughout the 1990s. O</w:t>
      </w:r>
      <w:r w:rsidR="000B55D5">
        <w:rPr>
          <w:rFonts w:ascii="Avenir Book" w:hAnsi="Avenir Book"/>
          <w:sz w:val="22"/>
          <w:szCs w:val="22"/>
        </w:rPr>
        <w:t>nly in the past two decades,</w:t>
      </w:r>
      <w:r w:rsidR="00AA6AC1">
        <w:rPr>
          <w:rFonts w:ascii="Avenir Book" w:hAnsi="Avenir Book"/>
          <w:sz w:val="22"/>
          <w:szCs w:val="22"/>
        </w:rPr>
        <w:t xml:space="preserve"> </w:t>
      </w:r>
      <w:r w:rsidR="00A2662E" w:rsidRPr="00A2662E">
        <w:rPr>
          <w:rFonts w:ascii="Avenir Book" w:hAnsi="Avenir Book"/>
          <w:sz w:val="22"/>
          <w:szCs w:val="22"/>
        </w:rPr>
        <w:t>alternative</w:t>
      </w:r>
      <w:r w:rsidR="00A2662E">
        <w:rPr>
          <w:rFonts w:ascii="Avenir Book" w:hAnsi="Avenir Book"/>
          <w:sz w:val="22"/>
          <w:szCs w:val="22"/>
        </w:rPr>
        <w:t xml:space="preserve"> </w:t>
      </w:r>
      <w:r w:rsidR="002126AB" w:rsidRPr="002126AB">
        <w:rPr>
          <w:rFonts w:ascii="Avenir Book" w:hAnsi="Avenir Book"/>
          <w:sz w:val="22"/>
          <w:szCs w:val="22"/>
        </w:rPr>
        <w:t>concepts</w:t>
      </w:r>
      <w:r>
        <w:rPr>
          <w:rFonts w:ascii="Avenir Book" w:hAnsi="Avenir Book"/>
          <w:sz w:val="22"/>
          <w:szCs w:val="22"/>
        </w:rPr>
        <w:t xml:space="preserve"> such as intangible heritage</w:t>
      </w:r>
      <w:r w:rsidR="00A2662E">
        <w:rPr>
          <w:rFonts w:ascii="Avenir Book" w:hAnsi="Avenir Book"/>
          <w:sz w:val="22"/>
          <w:szCs w:val="22"/>
        </w:rPr>
        <w:t xml:space="preserve"> </w:t>
      </w:r>
      <w:r w:rsidR="000B55D5">
        <w:rPr>
          <w:rFonts w:ascii="Avenir Book" w:hAnsi="Avenir Book"/>
          <w:sz w:val="22"/>
          <w:szCs w:val="22"/>
        </w:rPr>
        <w:t xml:space="preserve">have been formulated that </w:t>
      </w:r>
      <w:r>
        <w:rPr>
          <w:rFonts w:ascii="Avenir Book" w:hAnsi="Avenir Book"/>
          <w:sz w:val="22"/>
          <w:szCs w:val="22"/>
        </w:rPr>
        <w:t>d</w:t>
      </w:r>
      <w:r w:rsidR="000B55D5">
        <w:rPr>
          <w:rFonts w:ascii="Avenir Book" w:hAnsi="Avenir Book"/>
          <w:sz w:val="22"/>
          <w:szCs w:val="22"/>
        </w:rPr>
        <w:t>epart</w:t>
      </w:r>
      <w:r w:rsidR="00A2662E">
        <w:rPr>
          <w:rFonts w:ascii="Avenir Book" w:hAnsi="Avenir Book"/>
          <w:sz w:val="22"/>
          <w:szCs w:val="22"/>
        </w:rPr>
        <w:t xml:space="preserve"> </w:t>
      </w:r>
      <w:r>
        <w:rPr>
          <w:rFonts w:ascii="Avenir Book" w:hAnsi="Avenir Book"/>
          <w:sz w:val="22"/>
          <w:szCs w:val="22"/>
        </w:rPr>
        <w:t>from crite</w:t>
      </w:r>
      <w:r w:rsidR="00A2662E">
        <w:rPr>
          <w:rFonts w:ascii="Avenir Book" w:hAnsi="Avenir Book"/>
          <w:sz w:val="22"/>
          <w:szCs w:val="22"/>
        </w:rPr>
        <w:t xml:space="preserve">ria rooted in the </w:t>
      </w:r>
      <w:r w:rsidR="00607B4A">
        <w:rPr>
          <w:rFonts w:ascii="Avenir Book" w:hAnsi="Avenir Book"/>
          <w:sz w:val="22"/>
          <w:szCs w:val="22"/>
        </w:rPr>
        <w:t>modern West’s</w:t>
      </w:r>
      <w:r w:rsidR="00AA6AC1">
        <w:rPr>
          <w:rFonts w:ascii="Avenir Book" w:hAnsi="Avenir Book"/>
          <w:sz w:val="22"/>
          <w:szCs w:val="22"/>
        </w:rPr>
        <w:t xml:space="preserve"> cultural experience by </w:t>
      </w:r>
      <w:r w:rsidR="00A2662E">
        <w:rPr>
          <w:rFonts w:ascii="Avenir Book" w:hAnsi="Avenir Book"/>
          <w:sz w:val="22"/>
          <w:szCs w:val="22"/>
        </w:rPr>
        <w:t>accommodating n</w:t>
      </w:r>
      <w:r w:rsidR="00607B4A">
        <w:rPr>
          <w:rFonts w:ascii="Avenir Book" w:hAnsi="Avenir Book"/>
          <w:sz w:val="22"/>
          <w:szCs w:val="22"/>
        </w:rPr>
        <w:t xml:space="preserve">otions of cultural authenticity </w:t>
      </w:r>
      <w:r w:rsidR="00A2662E">
        <w:rPr>
          <w:rFonts w:ascii="Avenir Book" w:hAnsi="Avenir Book"/>
          <w:sz w:val="22"/>
          <w:szCs w:val="22"/>
        </w:rPr>
        <w:t>associ</w:t>
      </w:r>
      <w:r w:rsidR="00607B4A">
        <w:rPr>
          <w:rFonts w:ascii="Avenir Book" w:hAnsi="Avenir Book"/>
          <w:sz w:val="22"/>
          <w:szCs w:val="22"/>
        </w:rPr>
        <w:t>ated to the structure’s</w:t>
      </w:r>
      <w:r w:rsidR="00A2662E">
        <w:rPr>
          <w:rFonts w:ascii="Avenir Book" w:hAnsi="Avenir Book"/>
          <w:sz w:val="22"/>
          <w:szCs w:val="22"/>
        </w:rPr>
        <w:t xml:space="preserve"> </w:t>
      </w:r>
      <w:r w:rsidR="00607B4A" w:rsidRPr="00607B4A">
        <w:rPr>
          <w:rFonts w:ascii="Avenir Book" w:hAnsi="Avenir Book"/>
          <w:sz w:val="22"/>
          <w:szCs w:val="22"/>
        </w:rPr>
        <w:t>continuing</w:t>
      </w:r>
      <w:r w:rsidR="00607B4A">
        <w:rPr>
          <w:rFonts w:ascii="Avenir Book" w:hAnsi="Avenir Book"/>
          <w:sz w:val="22"/>
          <w:szCs w:val="22"/>
        </w:rPr>
        <w:t xml:space="preserve"> spatial presence, regardless of reconstruction</w:t>
      </w:r>
      <w:r w:rsidR="002126AB">
        <w:rPr>
          <w:rFonts w:ascii="Avenir Book" w:hAnsi="Avenir Book"/>
          <w:sz w:val="22"/>
          <w:szCs w:val="22"/>
        </w:rPr>
        <w:t>s</w:t>
      </w:r>
      <w:r w:rsidR="00607B4A">
        <w:rPr>
          <w:rFonts w:ascii="Avenir Book" w:hAnsi="Avenir Book"/>
          <w:sz w:val="22"/>
          <w:szCs w:val="22"/>
        </w:rPr>
        <w:t xml:space="preserve">, and </w:t>
      </w:r>
      <w:r w:rsidR="002126AB">
        <w:rPr>
          <w:rFonts w:ascii="Avenir Book" w:hAnsi="Avenir Book"/>
          <w:sz w:val="22"/>
          <w:szCs w:val="22"/>
        </w:rPr>
        <w:t xml:space="preserve">its </w:t>
      </w:r>
      <w:r w:rsidR="00607B4A">
        <w:rPr>
          <w:rFonts w:ascii="Avenir Book" w:hAnsi="Avenir Book"/>
          <w:sz w:val="22"/>
          <w:szCs w:val="22"/>
        </w:rPr>
        <w:t>social function</w:t>
      </w:r>
      <w:r>
        <w:rPr>
          <w:rFonts w:ascii="Avenir Book" w:hAnsi="Avenir Book"/>
          <w:sz w:val="22"/>
          <w:szCs w:val="22"/>
        </w:rPr>
        <w:t>.</w:t>
      </w:r>
      <w:r>
        <w:rPr>
          <w:rStyle w:val="FootnoteReference"/>
          <w:rFonts w:ascii="Avenir Book" w:hAnsi="Avenir Book"/>
          <w:sz w:val="22"/>
          <w:szCs w:val="22"/>
        </w:rPr>
        <w:footnoteReference w:id="11"/>
      </w:r>
      <w:r>
        <w:rPr>
          <w:rFonts w:ascii="Avenir Book" w:hAnsi="Avenir Book"/>
          <w:sz w:val="22"/>
          <w:szCs w:val="22"/>
        </w:rPr>
        <w:t xml:space="preserve">      </w:t>
      </w:r>
    </w:p>
    <w:p w14:paraId="76A1B9C1" w14:textId="77777777" w:rsidR="00506265" w:rsidRDefault="00506265" w:rsidP="00506265">
      <w:pPr>
        <w:jc w:val="center"/>
        <w:rPr>
          <w:rFonts w:ascii="Avenir Book" w:hAnsi="Avenir Book"/>
          <w:sz w:val="22"/>
          <w:szCs w:val="22"/>
        </w:rPr>
      </w:pPr>
      <w:r>
        <w:rPr>
          <w:rFonts w:ascii="Avenir Book" w:hAnsi="Avenir Book"/>
          <w:sz w:val="22"/>
          <w:szCs w:val="22"/>
        </w:rPr>
        <w:t>* * *</w:t>
      </w:r>
    </w:p>
    <w:p w14:paraId="356022D1" w14:textId="0660DAA9" w:rsidR="00506265" w:rsidRDefault="00F22FB5" w:rsidP="00506265">
      <w:pPr>
        <w:rPr>
          <w:rFonts w:ascii="Avenir Book" w:hAnsi="Avenir Book"/>
          <w:sz w:val="22"/>
          <w:szCs w:val="22"/>
        </w:rPr>
      </w:pPr>
      <w:r>
        <w:rPr>
          <w:rFonts w:ascii="Avenir Book" w:hAnsi="Avenir Book"/>
          <w:sz w:val="22"/>
          <w:szCs w:val="22"/>
        </w:rPr>
        <w:t>I intend to</w:t>
      </w:r>
      <w:r w:rsidR="00506265" w:rsidRPr="009A4148">
        <w:rPr>
          <w:rFonts w:ascii="Avenir Book" w:hAnsi="Avenir Book"/>
          <w:sz w:val="22"/>
          <w:szCs w:val="22"/>
        </w:rPr>
        <w:t xml:space="preserve"> </w:t>
      </w:r>
      <w:r>
        <w:rPr>
          <w:rFonts w:ascii="Avenir Book" w:hAnsi="Avenir Book"/>
          <w:sz w:val="22"/>
          <w:szCs w:val="22"/>
        </w:rPr>
        <w:t>show</w:t>
      </w:r>
      <w:r w:rsidR="00506265">
        <w:rPr>
          <w:rFonts w:ascii="Avenir Book" w:hAnsi="Avenir Book"/>
          <w:sz w:val="22"/>
          <w:szCs w:val="22"/>
        </w:rPr>
        <w:t xml:space="preserve"> how, </w:t>
      </w:r>
      <w:r w:rsidR="00506265" w:rsidRPr="009A4148">
        <w:rPr>
          <w:rFonts w:ascii="Avenir Book" w:hAnsi="Avenir Book"/>
          <w:sz w:val="22"/>
          <w:szCs w:val="22"/>
        </w:rPr>
        <w:t>l</w:t>
      </w:r>
      <w:r w:rsidR="00506265">
        <w:rPr>
          <w:rFonts w:ascii="Avenir Book" w:hAnsi="Avenir Book"/>
          <w:sz w:val="22"/>
          <w:szCs w:val="22"/>
        </w:rPr>
        <w:t xml:space="preserve">ong before the formalisation of modern conservation </w:t>
      </w:r>
      <w:r w:rsidR="00506265" w:rsidRPr="009A4148">
        <w:rPr>
          <w:rFonts w:ascii="Avenir Book" w:hAnsi="Avenir Book"/>
          <w:sz w:val="22"/>
          <w:szCs w:val="22"/>
        </w:rPr>
        <w:t>with its attending technologies</w:t>
      </w:r>
      <w:r w:rsidR="00506265">
        <w:rPr>
          <w:rFonts w:ascii="Avenir Book" w:hAnsi="Avenir Book"/>
          <w:sz w:val="22"/>
          <w:szCs w:val="22"/>
        </w:rPr>
        <w:t>,</w:t>
      </w:r>
      <w:r w:rsidR="00506265" w:rsidRPr="009A4148">
        <w:rPr>
          <w:rFonts w:ascii="Avenir Book" w:hAnsi="Avenir Book"/>
          <w:sz w:val="22"/>
          <w:szCs w:val="22"/>
        </w:rPr>
        <w:t xml:space="preserve"> </w:t>
      </w:r>
      <w:r w:rsidR="00506265">
        <w:rPr>
          <w:rFonts w:ascii="Avenir Book" w:hAnsi="Avenir Book"/>
          <w:sz w:val="22"/>
          <w:szCs w:val="22"/>
        </w:rPr>
        <w:t>scientific protocols, and specialized professional figures</w:t>
      </w:r>
      <w:r w:rsidR="00506265" w:rsidRPr="009A4148">
        <w:rPr>
          <w:rFonts w:ascii="Avenir Book" w:hAnsi="Avenir Book"/>
          <w:sz w:val="22"/>
          <w:szCs w:val="22"/>
        </w:rPr>
        <w:t>, concern for the fate of cultural</w:t>
      </w:r>
      <w:r w:rsidR="00506265">
        <w:rPr>
          <w:rFonts w:ascii="Avenir Book" w:hAnsi="Avenir Book"/>
          <w:sz w:val="22"/>
          <w:szCs w:val="22"/>
        </w:rPr>
        <w:t xml:space="preserve"> obje</w:t>
      </w:r>
      <w:r w:rsidR="00506265" w:rsidRPr="009A4148">
        <w:rPr>
          <w:rFonts w:ascii="Avenir Book" w:hAnsi="Avenir Book"/>
          <w:sz w:val="22"/>
          <w:szCs w:val="22"/>
        </w:rPr>
        <w:t>c</w:t>
      </w:r>
      <w:r w:rsidR="00506265">
        <w:rPr>
          <w:rFonts w:ascii="Avenir Book" w:hAnsi="Avenir Book"/>
          <w:sz w:val="22"/>
          <w:szCs w:val="22"/>
        </w:rPr>
        <w:t>ts p</w:t>
      </w:r>
      <w:r w:rsidR="00506265" w:rsidRPr="009A4148">
        <w:rPr>
          <w:rFonts w:ascii="Avenir Book" w:hAnsi="Avenir Book"/>
          <w:sz w:val="22"/>
          <w:szCs w:val="22"/>
        </w:rPr>
        <w:t>r</w:t>
      </w:r>
      <w:r w:rsidR="00506265">
        <w:rPr>
          <w:rFonts w:ascii="Avenir Book" w:hAnsi="Avenir Book"/>
          <w:sz w:val="22"/>
          <w:szCs w:val="22"/>
        </w:rPr>
        <w:t xml:space="preserve">oduced </w:t>
      </w:r>
      <w:r w:rsidR="00506265" w:rsidRPr="009A4148">
        <w:rPr>
          <w:rFonts w:ascii="Avenir Book" w:hAnsi="Avenir Book"/>
          <w:sz w:val="22"/>
          <w:szCs w:val="22"/>
        </w:rPr>
        <w:t xml:space="preserve">in both Western and Asian societies </w:t>
      </w:r>
      <w:r w:rsidR="00506265">
        <w:rPr>
          <w:rFonts w:ascii="Avenir Book" w:hAnsi="Avenir Book"/>
          <w:sz w:val="22"/>
          <w:szCs w:val="22"/>
        </w:rPr>
        <w:t>a variety of technic</w:t>
      </w:r>
      <w:r w:rsidR="00506265" w:rsidRPr="009A4148">
        <w:rPr>
          <w:rFonts w:ascii="Avenir Book" w:hAnsi="Avenir Book"/>
          <w:sz w:val="22"/>
          <w:szCs w:val="22"/>
        </w:rPr>
        <w:t>al</w:t>
      </w:r>
      <w:r w:rsidR="00506265">
        <w:rPr>
          <w:rFonts w:ascii="Avenir Book" w:hAnsi="Avenir Book"/>
          <w:sz w:val="22"/>
          <w:szCs w:val="22"/>
        </w:rPr>
        <w:t>,</w:t>
      </w:r>
      <w:r w:rsidR="00506265" w:rsidRPr="009A4148">
        <w:rPr>
          <w:rFonts w:ascii="Avenir Book" w:hAnsi="Avenir Book"/>
          <w:sz w:val="22"/>
          <w:szCs w:val="22"/>
        </w:rPr>
        <w:t xml:space="preserve"> </w:t>
      </w:r>
      <w:r w:rsidR="00506265">
        <w:rPr>
          <w:rFonts w:ascii="Avenir Book" w:hAnsi="Avenir Book"/>
          <w:sz w:val="22"/>
          <w:szCs w:val="22"/>
        </w:rPr>
        <w:t>liturgical, doctrinal and juridical</w:t>
      </w:r>
      <w:r w:rsidR="00506265" w:rsidRPr="009A4148">
        <w:rPr>
          <w:rFonts w:ascii="Avenir Book" w:hAnsi="Avenir Book"/>
          <w:sz w:val="22"/>
          <w:szCs w:val="22"/>
        </w:rPr>
        <w:t xml:space="preserve"> responses</w:t>
      </w:r>
      <w:r w:rsidR="00506265">
        <w:rPr>
          <w:rFonts w:ascii="Avenir Book" w:hAnsi="Avenir Book"/>
          <w:sz w:val="22"/>
          <w:szCs w:val="22"/>
        </w:rPr>
        <w:t>. When considered as a whole</w:t>
      </w:r>
      <w:r w:rsidR="00506265" w:rsidRPr="009A4148">
        <w:rPr>
          <w:rFonts w:ascii="Avenir Book" w:hAnsi="Avenir Book"/>
          <w:sz w:val="22"/>
          <w:szCs w:val="22"/>
        </w:rPr>
        <w:t xml:space="preserve">, </w:t>
      </w:r>
      <w:r w:rsidR="00506265">
        <w:rPr>
          <w:rFonts w:ascii="Avenir Book" w:hAnsi="Avenir Book"/>
          <w:sz w:val="22"/>
          <w:szCs w:val="22"/>
        </w:rPr>
        <w:t>t</w:t>
      </w:r>
      <w:r w:rsidR="00506265" w:rsidRPr="009A4148">
        <w:rPr>
          <w:rFonts w:ascii="Avenir Book" w:hAnsi="Avenir Book"/>
          <w:sz w:val="22"/>
          <w:szCs w:val="22"/>
        </w:rPr>
        <w:t>he</w:t>
      </w:r>
      <w:r w:rsidR="00506265">
        <w:rPr>
          <w:rFonts w:ascii="Avenir Book" w:hAnsi="Avenir Book"/>
          <w:sz w:val="22"/>
          <w:szCs w:val="22"/>
        </w:rPr>
        <w:t xml:space="preserve">se responses </w:t>
      </w:r>
      <w:r w:rsidR="00506265" w:rsidRPr="009A4148">
        <w:rPr>
          <w:rFonts w:ascii="Avenir Book" w:hAnsi="Avenir Book"/>
          <w:sz w:val="22"/>
          <w:szCs w:val="22"/>
        </w:rPr>
        <w:t>amount to a modus</w:t>
      </w:r>
      <w:r w:rsidR="00BD50BC">
        <w:rPr>
          <w:rFonts w:ascii="Avenir Book" w:hAnsi="Avenir Book"/>
          <w:sz w:val="22"/>
          <w:szCs w:val="22"/>
        </w:rPr>
        <w:t xml:space="preserve"> operandi</w:t>
      </w:r>
      <w:r w:rsidR="00506265" w:rsidRPr="009A4148">
        <w:rPr>
          <w:rFonts w:ascii="Avenir Book" w:hAnsi="Avenir Book"/>
          <w:sz w:val="22"/>
          <w:szCs w:val="22"/>
        </w:rPr>
        <w:t xml:space="preserve">, if not </w:t>
      </w:r>
      <w:r w:rsidR="00BD50BC">
        <w:rPr>
          <w:rFonts w:ascii="Avenir Book" w:hAnsi="Avenir Book"/>
          <w:sz w:val="22"/>
          <w:szCs w:val="22"/>
        </w:rPr>
        <w:t xml:space="preserve">quite </w:t>
      </w:r>
      <w:r w:rsidR="00506265" w:rsidRPr="009A4148">
        <w:rPr>
          <w:rFonts w:ascii="Avenir Book" w:hAnsi="Avenir Book"/>
          <w:sz w:val="22"/>
          <w:szCs w:val="22"/>
        </w:rPr>
        <w:t>a method</w:t>
      </w:r>
      <w:r w:rsidR="00506265">
        <w:rPr>
          <w:rFonts w:ascii="Avenir Book" w:hAnsi="Avenir Book"/>
          <w:sz w:val="22"/>
          <w:szCs w:val="22"/>
        </w:rPr>
        <w:t xml:space="preserve">, </w:t>
      </w:r>
      <w:r w:rsidR="00BD50BC">
        <w:rPr>
          <w:rFonts w:ascii="Avenir Book" w:hAnsi="Avenir Book"/>
          <w:sz w:val="22"/>
          <w:szCs w:val="22"/>
        </w:rPr>
        <w:t>which</w:t>
      </w:r>
      <w:r w:rsidR="00506265" w:rsidRPr="009A4148">
        <w:rPr>
          <w:rFonts w:ascii="Avenir Book" w:hAnsi="Avenir Book"/>
          <w:sz w:val="22"/>
          <w:szCs w:val="22"/>
        </w:rPr>
        <w:t xml:space="preserve"> is </w:t>
      </w:r>
      <w:r w:rsidR="00506265">
        <w:rPr>
          <w:rFonts w:ascii="Avenir Book" w:hAnsi="Avenir Book"/>
          <w:sz w:val="22"/>
          <w:szCs w:val="22"/>
        </w:rPr>
        <w:t>noteworthy</w:t>
      </w:r>
      <w:r w:rsidR="00506265" w:rsidRPr="009A4148">
        <w:rPr>
          <w:rFonts w:ascii="Avenir Book" w:hAnsi="Avenir Book"/>
          <w:sz w:val="22"/>
          <w:szCs w:val="22"/>
        </w:rPr>
        <w:t xml:space="preserve"> </w:t>
      </w:r>
      <w:r w:rsidR="00BD50BC">
        <w:rPr>
          <w:rFonts w:ascii="Avenir Book" w:hAnsi="Avenir Book"/>
          <w:sz w:val="22"/>
          <w:szCs w:val="22"/>
        </w:rPr>
        <w:t xml:space="preserve">not for the fact </w:t>
      </w:r>
      <w:r w:rsidR="00506265" w:rsidRPr="009A4148">
        <w:rPr>
          <w:rFonts w:ascii="Avenir Book" w:hAnsi="Avenir Book"/>
          <w:sz w:val="22"/>
          <w:szCs w:val="22"/>
        </w:rPr>
        <w:t>not that it encompassed approaches that are t</w:t>
      </w:r>
      <w:r w:rsidR="00506265">
        <w:rPr>
          <w:rFonts w:ascii="Avenir Book" w:hAnsi="Avenir Book"/>
          <w:sz w:val="22"/>
          <w:szCs w:val="22"/>
        </w:rPr>
        <w:t>oday methodologically distinct (</w:t>
      </w:r>
      <w:r w:rsidR="00506265" w:rsidRPr="009A4148">
        <w:rPr>
          <w:rFonts w:ascii="Avenir Book" w:hAnsi="Avenir Book"/>
          <w:sz w:val="22"/>
          <w:szCs w:val="22"/>
        </w:rPr>
        <w:t>preservation, restoration, reconstruction and replication</w:t>
      </w:r>
      <w:r w:rsidR="00506265">
        <w:rPr>
          <w:rFonts w:ascii="Avenir Book" w:hAnsi="Avenir Book"/>
          <w:sz w:val="22"/>
          <w:szCs w:val="22"/>
        </w:rPr>
        <w:t xml:space="preserve">) along with others (reuse and pastiche) that </w:t>
      </w:r>
      <w:r w:rsidR="00506265" w:rsidRPr="00BB1221">
        <w:rPr>
          <w:rFonts w:ascii="Avenir Book" w:hAnsi="Avenir Book"/>
          <w:sz w:val="22"/>
          <w:szCs w:val="22"/>
        </w:rPr>
        <w:t>ar</w:t>
      </w:r>
      <w:r w:rsidR="00506265">
        <w:rPr>
          <w:rFonts w:ascii="Avenir Book" w:hAnsi="Avenir Book"/>
          <w:sz w:val="22"/>
          <w:szCs w:val="22"/>
        </w:rPr>
        <w:t>e deemed no longer acceptable;</w:t>
      </w:r>
      <w:r w:rsidR="00506265" w:rsidRPr="009A4148">
        <w:rPr>
          <w:rFonts w:ascii="Avenir Book" w:hAnsi="Avenir Book"/>
          <w:sz w:val="22"/>
          <w:szCs w:val="22"/>
        </w:rPr>
        <w:t xml:space="preserve"> but that </w:t>
      </w:r>
      <w:r w:rsidR="00506265">
        <w:rPr>
          <w:rFonts w:ascii="Avenir Book" w:hAnsi="Avenir Book"/>
          <w:sz w:val="22"/>
          <w:szCs w:val="22"/>
        </w:rPr>
        <w:t xml:space="preserve">it sought </w:t>
      </w:r>
      <w:r w:rsidR="00506265" w:rsidRPr="009A4148">
        <w:rPr>
          <w:rFonts w:ascii="Avenir Book" w:hAnsi="Avenir Book"/>
          <w:sz w:val="22"/>
          <w:szCs w:val="22"/>
        </w:rPr>
        <w:t>to achieve</w:t>
      </w:r>
      <w:r w:rsidR="00506265" w:rsidRPr="0073490B">
        <w:rPr>
          <w:rFonts w:ascii="Avenir Book" w:hAnsi="Avenir Book"/>
          <w:sz w:val="22"/>
          <w:szCs w:val="22"/>
        </w:rPr>
        <w:t xml:space="preserve"> </w:t>
      </w:r>
      <w:r w:rsidR="00506265">
        <w:rPr>
          <w:rFonts w:ascii="Avenir Book" w:hAnsi="Avenir Book"/>
          <w:sz w:val="22"/>
          <w:szCs w:val="22"/>
        </w:rPr>
        <w:t>the abolition of time, as Lé</w:t>
      </w:r>
      <w:r w:rsidR="00506265" w:rsidRPr="009A4148">
        <w:rPr>
          <w:rFonts w:ascii="Avenir Book" w:hAnsi="Avenir Book"/>
          <w:sz w:val="22"/>
          <w:szCs w:val="22"/>
        </w:rPr>
        <w:t xml:space="preserve">vi-Strauss </w:t>
      </w:r>
      <w:r w:rsidR="00506265">
        <w:rPr>
          <w:rFonts w:ascii="Avenir Book" w:hAnsi="Avenir Book"/>
          <w:sz w:val="22"/>
          <w:szCs w:val="22"/>
        </w:rPr>
        <w:t xml:space="preserve">has argued of </w:t>
      </w:r>
      <w:r w:rsidR="00506265" w:rsidRPr="009A4148">
        <w:rPr>
          <w:rFonts w:ascii="Avenir Book" w:hAnsi="Avenir Book"/>
          <w:sz w:val="22"/>
          <w:szCs w:val="22"/>
        </w:rPr>
        <w:t>ritual</w:t>
      </w:r>
      <w:r w:rsidR="00506265">
        <w:rPr>
          <w:rFonts w:ascii="Avenir Book" w:hAnsi="Avenir Book"/>
          <w:sz w:val="22"/>
          <w:szCs w:val="22"/>
        </w:rPr>
        <w:t>;</w:t>
      </w:r>
      <w:r w:rsidR="00506265" w:rsidRPr="009A4148">
        <w:rPr>
          <w:rStyle w:val="FootnoteReference"/>
          <w:rFonts w:ascii="Avenir Book" w:hAnsi="Avenir Book"/>
          <w:sz w:val="22"/>
          <w:szCs w:val="22"/>
        </w:rPr>
        <w:footnoteReference w:id="12"/>
      </w:r>
      <w:r w:rsidR="00506265" w:rsidRPr="009A4148">
        <w:rPr>
          <w:rFonts w:ascii="Avenir Book" w:hAnsi="Avenir Book"/>
          <w:sz w:val="22"/>
          <w:szCs w:val="22"/>
        </w:rPr>
        <w:t xml:space="preserve"> </w:t>
      </w:r>
      <w:r w:rsidR="00506265">
        <w:rPr>
          <w:rFonts w:ascii="Avenir Book" w:hAnsi="Avenir Book"/>
          <w:sz w:val="22"/>
          <w:szCs w:val="22"/>
        </w:rPr>
        <w:t>or</w:t>
      </w:r>
      <w:r w:rsidR="00506265" w:rsidRPr="009A4148">
        <w:rPr>
          <w:rFonts w:ascii="Avenir Book" w:hAnsi="Avenir Book"/>
          <w:sz w:val="22"/>
          <w:szCs w:val="22"/>
        </w:rPr>
        <w:t xml:space="preserve"> more precisely, the re</w:t>
      </w:r>
      <w:r w:rsidR="00506265">
        <w:rPr>
          <w:rFonts w:ascii="Avenir Book" w:hAnsi="Avenir Book"/>
          <w:sz w:val="22"/>
          <w:szCs w:val="22"/>
        </w:rPr>
        <w:t>storation</w:t>
      </w:r>
      <w:r w:rsidR="00506265" w:rsidRPr="009A4148">
        <w:rPr>
          <w:rFonts w:ascii="Avenir Book" w:hAnsi="Avenir Book"/>
          <w:sz w:val="22"/>
          <w:szCs w:val="22"/>
        </w:rPr>
        <w:t xml:space="preserve"> of </w:t>
      </w:r>
      <w:r w:rsidR="00506265">
        <w:rPr>
          <w:rFonts w:ascii="Avenir Book" w:hAnsi="Avenir Book"/>
          <w:sz w:val="22"/>
          <w:szCs w:val="22"/>
        </w:rPr>
        <w:t>eternity</w:t>
      </w:r>
      <w:r w:rsidR="00506265" w:rsidRPr="009A4148">
        <w:rPr>
          <w:rFonts w:ascii="Avenir Book" w:hAnsi="Avenir Book"/>
          <w:sz w:val="22"/>
          <w:szCs w:val="22"/>
        </w:rPr>
        <w:t xml:space="preserve"> </w:t>
      </w:r>
      <w:r w:rsidR="00506265">
        <w:rPr>
          <w:rFonts w:ascii="Avenir Book" w:hAnsi="Avenir Book"/>
          <w:sz w:val="22"/>
          <w:szCs w:val="22"/>
        </w:rPr>
        <w:t xml:space="preserve">through </w:t>
      </w:r>
      <w:r w:rsidR="00506265" w:rsidRPr="009A4148">
        <w:rPr>
          <w:rFonts w:ascii="Avenir Book" w:hAnsi="Avenir Book"/>
          <w:sz w:val="22"/>
          <w:szCs w:val="22"/>
        </w:rPr>
        <w:t>the re</w:t>
      </w:r>
      <w:r w:rsidR="00506265">
        <w:rPr>
          <w:rFonts w:ascii="Avenir Book" w:hAnsi="Avenir Book"/>
          <w:sz w:val="22"/>
          <w:szCs w:val="22"/>
        </w:rPr>
        <w:t>generation of the arte</w:t>
      </w:r>
      <w:r w:rsidR="00506265" w:rsidRPr="009A4148">
        <w:rPr>
          <w:rFonts w:ascii="Avenir Book" w:hAnsi="Avenir Book"/>
          <w:sz w:val="22"/>
          <w:szCs w:val="22"/>
        </w:rPr>
        <w:t xml:space="preserve">fact’s </w:t>
      </w:r>
      <w:r w:rsidR="00506265">
        <w:rPr>
          <w:rFonts w:ascii="Avenir Book" w:hAnsi="Avenir Book"/>
          <w:sz w:val="22"/>
          <w:szCs w:val="22"/>
        </w:rPr>
        <w:t xml:space="preserve">material fabric as well as </w:t>
      </w:r>
      <w:r w:rsidR="00506265" w:rsidRPr="009A4148">
        <w:rPr>
          <w:rFonts w:ascii="Avenir Book" w:hAnsi="Avenir Book"/>
          <w:sz w:val="22"/>
          <w:szCs w:val="22"/>
        </w:rPr>
        <w:t xml:space="preserve">its aura – not in the sense theorized by Walter Benjamin, </w:t>
      </w:r>
      <w:r w:rsidR="00506265">
        <w:rPr>
          <w:rFonts w:ascii="Avenir Book" w:hAnsi="Avenir Book"/>
          <w:sz w:val="22"/>
          <w:szCs w:val="22"/>
        </w:rPr>
        <w:t xml:space="preserve">though, </w:t>
      </w:r>
      <w:r w:rsidR="00506265" w:rsidRPr="009A4148">
        <w:rPr>
          <w:rFonts w:ascii="Avenir Book" w:hAnsi="Avenir Book"/>
          <w:sz w:val="22"/>
          <w:szCs w:val="22"/>
        </w:rPr>
        <w:t xml:space="preserve">but in the literal sense of </w:t>
      </w:r>
      <w:r w:rsidR="00506265">
        <w:rPr>
          <w:rFonts w:ascii="Avenir Book" w:hAnsi="Avenir Book"/>
          <w:sz w:val="22"/>
          <w:szCs w:val="22"/>
        </w:rPr>
        <w:t xml:space="preserve">a </w:t>
      </w:r>
      <w:r w:rsidR="00506265" w:rsidRPr="009A4148">
        <w:rPr>
          <w:rFonts w:ascii="Avenir Book" w:hAnsi="Avenir Book"/>
          <w:sz w:val="22"/>
          <w:szCs w:val="22"/>
        </w:rPr>
        <w:t>bodily breeze, as denote</w:t>
      </w:r>
      <w:r w:rsidR="00506265">
        <w:rPr>
          <w:rFonts w:ascii="Avenir Book" w:hAnsi="Avenir Book"/>
          <w:sz w:val="22"/>
          <w:szCs w:val="22"/>
        </w:rPr>
        <w:t xml:space="preserve">d by the </w:t>
      </w:r>
      <w:r w:rsidR="00506265" w:rsidRPr="009A4148">
        <w:rPr>
          <w:rFonts w:ascii="Avenir Book" w:hAnsi="Avenir Book"/>
          <w:sz w:val="22"/>
          <w:szCs w:val="22"/>
        </w:rPr>
        <w:t xml:space="preserve">Hindu </w:t>
      </w:r>
      <w:r w:rsidR="00506265">
        <w:rPr>
          <w:rFonts w:ascii="Avenir Book" w:hAnsi="Avenir Book"/>
          <w:sz w:val="22"/>
          <w:szCs w:val="22"/>
        </w:rPr>
        <w:t>rite of</w:t>
      </w:r>
      <w:r w:rsidR="00506265" w:rsidRPr="009A4148">
        <w:rPr>
          <w:rFonts w:ascii="Avenir Book" w:hAnsi="Avenir Book"/>
          <w:sz w:val="22"/>
          <w:szCs w:val="22"/>
        </w:rPr>
        <w:t xml:space="preserve"> the installation of </w:t>
      </w:r>
      <w:r w:rsidR="00506265">
        <w:rPr>
          <w:rFonts w:ascii="Avenir Book" w:hAnsi="Avenir Book"/>
          <w:sz w:val="22"/>
          <w:szCs w:val="22"/>
        </w:rPr>
        <w:t>brea</w:t>
      </w:r>
      <w:r w:rsidR="00506265" w:rsidRPr="009A4148">
        <w:rPr>
          <w:rFonts w:ascii="Avenir Book" w:hAnsi="Avenir Book"/>
          <w:sz w:val="22"/>
          <w:szCs w:val="22"/>
        </w:rPr>
        <w:t>ths (</w:t>
      </w:r>
      <w:r w:rsidR="00506265">
        <w:rPr>
          <w:rFonts w:ascii="Avenir Book" w:hAnsi="Avenir Book"/>
          <w:sz w:val="22"/>
          <w:szCs w:val="22"/>
        </w:rPr>
        <w:t>Sanskrit,</w:t>
      </w:r>
      <w:r w:rsidR="00506265" w:rsidRPr="009C55E2">
        <w:rPr>
          <w:rFonts w:ascii="Avenir Book" w:hAnsi="Avenir Book"/>
          <w:i/>
          <w:sz w:val="22"/>
          <w:szCs w:val="22"/>
        </w:rPr>
        <w:t xml:space="preserve"> </w:t>
      </w:r>
      <w:r w:rsidR="00506265">
        <w:rPr>
          <w:rFonts w:ascii="Avenir Book" w:hAnsi="Avenir Book"/>
          <w:i/>
          <w:sz w:val="22"/>
          <w:szCs w:val="22"/>
        </w:rPr>
        <w:t>pran</w:t>
      </w:r>
      <w:r w:rsidR="00506265" w:rsidRPr="009C55E2">
        <w:rPr>
          <w:rFonts w:ascii="Avenir Book" w:hAnsi="Avenir Book"/>
          <w:i/>
          <w:sz w:val="22"/>
          <w:szCs w:val="22"/>
        </w:rPr>
        <w:t>apratisha</w:t>
      </w:r>
      <w:r w:rsidR="00506265" w:rsidRPr="009A4148">
        <w:rPr>
          <w:rFonts w:ascii="Avenir Book" w:hAnsi="Avenir Book"/>
          <w:sz w:val="22"/>
          <w:szCs w:val="22"/>
        </w:rPr>
        <w:t>)</w:t>
      </w:r>
      <w:r w:rsidR="00506265">
        <w:rPr>
          <w:rFonts w:ascii="Avenir Book" w:hAnsi="Avenir Book"/>
          <w:sz w:val="22"/>
          <w:szCs w:val="22"/>
        </w:rPr>
        <w:t>, which</w:t>
      </w:r>
      <w:r w:rsidR="00506265" w:rsidRPr="009A4148">
        <w:rPr>
          <w:rFonts w:ascii="Avenir Book" w:hAnsi="Avenir Book"/>
          <w:sz w:val="22"/>
          <w:szCs w:val="22"/>
        </w:rPr>
        <w:t xml:space="preserve"> is performed to </w:t>
      </w:r>
      <w:r w:rsidR="00506265">
        <w:rPr>
          <w:rFonts w:ascii="Avenir Book" w:hAnsi="Avenir Book"/>
          <w:sz w:val="22"/>
          <w:szCs w:val="22"/>
        </w:rPr>
        <w:t xml:space="preserve">animate (i.e., breath life into) sacred </w:t>
      </w:r>
      <w:r w:rsidR="00506265" w:rsidRPr="009A4148">
        <w:rPr>
          <w:rFonts w:ascii="Avenir Book" w:hAnsi="Avenir Book"/>
          <w:sz w:val="22"/>
          <w:szCs w:val="22"/>
        </w:rPr>
        <w:t xml:space="preserve">images. </w:t>
      </w:r>
    </w:p>
    <w:p w14:paraId="44246F96" w14:textId="66010253" w:rsidR="00506265" w:rsidRDefault="00506265" w:rsidP="00506265">
      <w:pPr>
        <w:ind w:firstLine="720"/>
        <w:rPr>
          <w:rFonts w:ascii="Avenir Book" w:hAnsi="Avenir Book"/>
          <w:sz w:val="22"/>
          <w:szCs w:val="22"/>
        </w:rPr>
      </w:pPr>
      <w:r w:rsidRPr="009A4148">
        <w:rPr>
          <w:rFonts w:ascii="Avenir Book" w:hAnsi="Avenir Book"/>
          <w:sz w:val="22"/>
          <w:szCs w:val="22"/>
        </w:rPr>
        <w:t xml:space="preserve">The sacred time of ritual approximates eternity, </w:t>
      </w:r>
      <w:r>
        <w:rPr>
          <w:rFonts w:ascii="Avenir Book" w:hAnsi="Avenir Book"/>
          <w:sz w:val="22"/>
          <w:szCs w:val="22"/>
        </w:rPr>
        <w:t>notes</w:t>
      </w:r>
      <w:r w:rsidRPr="009A4148">
        <w:rPr>
          <w:rFonts w:ascii="Avenir Book" w:hAnsi="Avenir Book"/>
          <w:sz w:val="22"/>
          <w:szCs w:val="22"/>
        </w:rPr>
        <w:t xml:space="preserve"> Mircea Eliade</w:t>
      </w:r>
      <w:r>
        <w:rPr>
          <w:rFonts w:ascii="Avenir Book" w:hAnsi="Avenir Book"/>
          <w:sz w:val="22"/>
          <w:szCs w:val="22"/>
        </w:rPr>
        <w:t xml:space="preserve"> in </w:t>
      </w:r>
      <w:r w:rsidRPr="005F2A26">
        <w:rPr>
          <w:rFonts w:ascii="Avenir Book" w:hAnsi="Avenir Book"/>
          <w:i/>
          <w:sz w:val="22"/>
          <w:szCs w:val="22"/>
        </w:rPr>
        <w:t>The Sacred and the Profane</w:t>
      </w:r>
      <w:r>
        <w:rPr>
          <w:rFonts w:ascii="Avenir Book" w:hAnsi="Avenir Book"/>
          <w:sz w:val="22"/>
          <w:szCs w:val="22"/>
        </w:rPr>
        <w:t>, where he report</w:t>
      </w:r>
      <w:r w:rsidR="00637DFB">
        <w:rPr>
          <w:rFonts w:ascii="Avenir Book" w:hAnsi="Avenir Book"/>
          <w:sz w:val="22"/>
          <w:szCs w:val="22"/>
        </w:rPr>
        <w:t xml:space="preserve">s two earlier </w:t>
      </w:r>
      <w:r>
        <w:rPr>
          <w:rFonts w:ascii="Avenir Book" w:hAnsi="Avenir Book"/>
          <w:sz w:val="22"/>
          <w:szCs w:val="22"/>
        </w:rPr>
        <w:t>scholars</w:t>
      </w:r>
      <w:r w:rsidR="00637DFB">
        <w:rPr>
          <w:rFonts w:ascii="Avenir Book" w:hAnsi="Avenir Book"/>
          <w:sz w:val="22"/>
          <w:szCs w:val="22"/>
        </w:rPr>
        <w:t xml:space="preserve">’ </w:t>
      </w:r>
      <w:r w:rsidR="002C49FD" w:rsidRPr="002C49FD">
        <w:rPr>
          <w:rFonts w:ascii="Avenir Book" w:hAnsi="Avenir Book"/>
          <w:sz w:val="22"/>
          <w:szCs w:val="22"/>
        </w:rPr>
        <w:t>remark</w:t>
      </w:r>
      <w:r>
        <w:rPr>
          <w:rFonts w:ascii="Avenir Book" w:hAnsi="Avenir Book"/>
          <w:sz w:val="22"/>
          <w:szCs w:val="22"/>
        </w:rPr>
        <w:t xml:space="preserve"> </w:t>
      </w:r>
      <w:r w:rsidRPr="009A4148">
        <w:rPr>
          <w:rFonts w:ascii="Avenir Book" w:hAnsi="Avenir Book"/>
          <w:sz w:val="22"/>
          <w:szCs w:val="22"/>
        </w:rPr>
        <w:t>about the etymological kinship</w:t>
      </w:r>
      <w:r>
        <w:rPr>
          <w:rFonts w:ascii="Avenir Book" w:hAnsi="Avenir Book"/>
          <w:sz w:val="22"/>
          <w:szCs w:val="22"/>
        </w:rPr>
        <w:t xml:space="preserve"> of the Latin terms for “temple”</w:t>
      </w:r>
      <w:r w:rsidRPr="009A4148">
        <w:rPr>
          <w:rFonts w:ascii="Avenir Book" w:hAnsi="Avenir Book"/>
          <w:sz w:val="22"/>
          <w:szCs w:val="22"/>
        </w:rPr>
        <w:t xml:space="preserve"> (</w:t>
      </w:r>
      <w:r w:rsidRPr="009A4148">
        <w:rPr>
          <w:rFonts w:ascii="Avenir Book" w:hAnsi="Avenir Book"/>
          <w:i/>
          <w:sz w:val="22"/>
          <w:szCs w:val="22"/>
        </w:rPr>
        <w:t>templum</w:t>
      </w:r>
      <w:r w:rsidRPr="009A4148">
        <w:rPr>
          <w:rFonts w:ascii="Avenir Book" w:hAnsi="Avenir Book"/>
          <w:sz w:val="22"/>
          <w:szCs w:val="22"/>
        </w:rPr>
        <w:t>)</w:t>
      </w:r>
      <w:r>
        <w:rPr>
          <w:rFonts w:ascii="Avenir Book" w:hAnsi="Avenir Book"/>
          <w:sz w:val="22"/>
          <w:szCs w:val="22"/>
        </w:rPr>
        <w:t xml:space="preserve"> and “time”</w:t>
      </w:r>
      <w:r w:rsidRPr="009A4148">
        <w:rPr>
          <w:rFonts w:ascii="Avenir Book" w:hAnsi="Avenir Book"/>
          <w:sz w:val="22"/>
          <w:szCs w:val="22"/>
        </w:rPr>
        <w:t xml:space="preserve"> (</w:t>
      </w:r>
      <w:r w:rsidRPr="009A4148">
        <w:rPr>
          <w:rFonts w:ascii="Avenir Book" w:hAnsi="Avenir Book"/>
          <w:i/>
          <w:sz w:val="22"/>
          <w:szCs w:val="22"/>
        </w:rPr>
        <w:t>tempus</w:t>
      </w:r>
      <w:r>
        <w:rPr>
          <w:rFonts w:ascii="Avenir Book" w:hAnsi="Avenir Book"/>
          <w:sz w:val="22"/>
          <w:szCs w:val="22"/>
        </w:rPr>
        <w:t>)</w:t>
      </w:r>
      <w:r w:rsidRPr="009A4148">
        <w:rPr>
          <w:rFonts w:ascii="Avenir Book" w:hAnsi="Avenir Book"/>
          <w:sz w:val="22"/>
          <w:szCs w:val="22"/>
        </w:rPr>
        <w:t xml:space="preserve">, the former designating the </w:t>
      </w:r>
      <w:r>
        <w:rPr>
          <w:rFonts w:ascii="Avenir Book" w:hAnsi="Avenir Book"/>
          <w:sz w:val="22"/>
          <w:szCs w:val="22"/>
        </w:rPr>
        <w:t>“</w:t>
      </w:r>
      <w:r w:rsidRPr="009A4148">
        <w:rPr>
          <w:rFonts w:ascii="Avenir Book" w:hAnsi="Avenir Book"/>
          <w:sz w:val="22"/>
          <w:szCs w:val="22"/>
        </w:rPr>
        <w:t>spatial aspect</w:t>
      </w:r>
      <w:r>
        <w:rPr>
          <w:rFonts w:ascii="Avenir Book" w:hAnsi="Avenir Book"/>
          <w:sz w:val="22"/>
          <w:szCs w:val="22"/>
        </w:rPr>
        <w:t>”</w:t>
      </w:r>
      <w:r w:rsidRPr="009A4148">
        <w:rPr>
          <w:rFonts w:ascii="Avenir Book" w:hAnsi="Avenir Book"/>
          <w:sz w:val="22"/>
          <w:szCs w:val="22"/>
        </w:rPr>
        <w:t xml:space="preserve"> and the latter </w:t>
      </w:r>
      <w:r>
        <w:rPr>
          <w:rFonts w:ascii="Avenir Book" w:hAnsi="Avenir Book"/>
          <w:sz w:val="22"/>
          <w:szCs w:val="22"/>
        </w:rPr>
        <w:t>“</w:t>
      </w:r>
      <w:r w:rsidRPr="009A4148">
        <w:rPr>
          <w:rFonts w:ascii="Avenir Book" w:hAnsi="Avenir Book"/>
          <w:sz w:val="22"/>
          <w:szCs w:val="22"/>
        </w:rPr>
        <w:t>the temporal aspect of the motion o</w:t>
      </w:r>
      <w:r>
        <w:rPr>
          <w:rFonts w:ascii="Avenir Book" w:hAnsi="Avenir Book"/>
          <w:sz w:val="22"/>
          <w:szCs w:val="22"/>
        </w:rPr>
        <w:t>f the horizon in space and time</w:t>
      </w:r>
      <w:r w:rsidRPr="009A4148">
        <w:rPr>
          <w:rFonts w:ascii="Avenir Book" w:hAnsi="Avenir Book"/>
          <w:sz w:val="22"/>
          <w:szCs w:val="22"/>
        </w:rPr>
        <w:t>.</w:t>
      </w:r>
      <w:r>
        <w:rPr>
          <w:rFonts w:ascii="Avenir Book" w:hAnsi="Avenir Book"/>
          <w:sz w:val="22"/>
          <w:szCs w:val="22"/>
        </w:rPr>
        <w:t>”</w:t>
      </w:r>
      <w:r w:rsidRPr="009A4148">
        <w:rPr>
          <w:rStyle w:val="FootnoteReference"/>
          <w:rFonts w:ascii="Avenir Book" w:hAnsi="Avenir Book"/>
          <w:sz w:val="22"/>
          <w:szCs w:val="22"/>
        </w:rPr>
        <w:footnoteReference w:id="13"/>
      </w:r>
      <w:r w:rsidRPr="009A4148">
        <w:rPr>
          <w:rFonts w:ascii="Avenir Book" w:hAnsi="Avenir Book"/>
          <w:sz w:val="22"/>
          <w:szCs w:val="22"/>
        </w:rPr>
        <w:t xml:space="preserve"> </w:t>
      </w:r>
      <w:r>
        <w:rPr>
          <w:rFonts w:ascii="Avenir Book" w:hAnsi="Avenir Book"/>
          <w:sz w:val="22"/>
          <w:szCs w:val="22"/>
        </w:rPr>
        <w:t>From the “cosmotheistic” view</w:t>
      </w:r>
      <w:r w:rsidRPr="000735A3">
        <w:rPr>
          <w:rFonts w:ascii="Avenir Book" w:hAnsi="Avenir Book"/>
          <w:sz w:val="22"/>
          <w:szCs w:val="22"/>
        </w:rPr>
        <w:t>point</w:t>
      </w:r>
      <w:r>
        <w:rPr>
          <w:rFonts w:ascii="Avenir Book" w:hAnsi="Avenir Book"/>
          <w:sz w:val="22"/>
          <w:szCs w:val="22"/>
        </w:rPr>
        <w:t xml:space="preserve"> of polytheistic religions, which </w:t>
      </w:r>
      <w:r w:rsidR="00DD4E94">
        <w:rPr>
          <w:rFonts w:ascii="Avenir Book" w:hAnsi="Avenir Book"/>
          <w:sz w:val="22"/>
          <w:szCs w:val="22"/>
        </w:rPr>
        <w:t xml:space="preserve">may be taken </w:t>
      </w:r>
      <w:r>
        <w:rPr>
          <w:rFonts w:ascii="Avenir Book" w:hAnsi="Avenir Book"/>
          <w:sz w:val="22"/>
          <w:szCs w:val="22"/>
        </w:rPr>
        <w:t xml:space="preserve">to </w:t>
      </w:r>
      <w:r w:rsidR="00DD4E94">
        <w:rPr>
          <w:rFonts w:ascii="Avenir Book" w:hAnsi="Avenir Book"/>
          <w:sz w:val="22"/>
          <w:szCs w:val="22"/>
        </w:rPr>
        <w:t xml:space="preserve">also include </w:t>
      </w:r>
      <w:r>
        <w:rPr>
          <w:rFonts w:ascii="Avenir Book" w:hAnsi="Avenir Book"/>
          <w:sz w:val="22"/>
          <w:szCs w:val="22"/>
        </w:rPr>
        <w:t>Buddhism and pre-Reformation Christianity, “Images and rites make earth resemble heaven and integrate the human world into the cosmic order.”</w:t>
      </w:r>
      <w:r>
        <w:rPr>
          <w:rStyle w:val="FootnoteReference"/>
          <w:rFonts w:ascii="Avenir Book" w:hAnsi="Avenir Book"/>
          <w:sz w:val="22"/>
          <w:szCs w:val="22"/>
        </w:rPr>
        <w:footnoteReference w:id="14"/>
      </w:r>
      <w:r w:rsidR="00DD4E94">
        <w:rPr>
          <w:rFonts w:ascii="Avenir Book" w:hAnsi="Avenir Book"/>
          <w:sz w:val="22"/>
          <w:szCs w:val="22"/>
        </w:rPr>
        <w:t xml:space="preserve"> The ability of cult objects to</w:t>
      </w:r>
      <w:r w:rsidR="00AD4906">
        <w:rPr>
          <w:rFonts w:ascii="Avenir Book" w:hAnsi="Avenir Book"/>
          <w:sz w:val="22"/>
          <w:szCs w:val="22"/>
        </w:rPr>
        <w:t xml:space="preserve"> connect</w:t>
      </w:r>
      <w:r w:rsidR="00FA76EF">
        <w:rPr>
          <w:rFonts w:ascii="Avenir Book" w:hAnsi="Avenir Book"/>
          <w:sz w:val="22"/>
          <w:szCs w:val="22"/>
        </w:rPr>
        <w:t xml:space="preserve"> the visible and invisible realms </w:t>
      </w:r>
      <w:r w:rsidR="00C8352F">
        <w:rPr>
          <w:rFonts w:ascii="Avenir Book" w:hAnsi="Avenir Book"/>
          <w:sz w:val="22"/>
          <w:szCs w:val="22"/>
        </w:rPr>
        <w:t>under</w:t>
      </w:r>
      <w:r w:rsidR="00FA76EF">
        <w:rPr>
          <w:rFonts w:ascii="Avenir Book" w:hAnsi="Avenir Book"/>
          <w:sz w:val="22"/>
          <w:szCs w:val="22"/>
        </w:rPr>
        <w:t>pin</w:t>
      </w:r>
      <w:r w:rsidR="0056268D">
        <w:rPr>
          <w:rFonts w:ascii="Avenir Book" w:hAnsi="Avenir Book"/>
          <w:sz w:val="22"/>
          <w:szCs w:val="22"/>
        </w:rPr>
        <w:t>s</w:t>
      </w:r>
      <w:r>
        <w:rPr>
          <w:rFonts w:ascii="Avenir Book" w:hAnsi="Avenir Book"/>
          <w:sz w:val="22"/>
          <w:szCs w:val="22"/>
        </w:rPr>
        <w:t xml:space="preserve"> Mary Brooks</w:t>
      </w:r>
      <w:r w:rsidR="0056268D">
        <w:rPr>
          <w:rFonts w:ascii="Avenir Book" w:hAnsi="Avenir Book"/>
          <w:sz w:val="22"/>
          <w:szCs w:val="22"/>
        </w:rPr>
        <w:t>’</w:t>
      </w:r>
      <w:r w:rsidR="00FA76EF">
        <w:rPr>
          <w:rFonts w:ascii="Avenir Book" w:hAnsi="Avenir Book"/>
          <w:sz w:val="22"/>
          <w:szCs w:val="22"/>
        </w:rPr>
        <w:t>s</w:t>
      </w:r>
      <w:r w:rsidR="0056268D">
        <w:rPr>
          <w:rFonts w:ascii="Avenir Book" w:hAnsi="Avenir Book"/>
          <w:sz w:val="22"/>
          <w:szCs w:val="22"/>
        </w:rPr>
        <w:t xml:space="preserve"> cogent comment</w:t>
      </w:r>
      <w:r w:rsidR="00CB3D3B">
        <w:rPr>
          <w:rFonts w:ascii="Avenir Book" w:hAnsi="Avenir Book"/>
          <w:sz w:val="22"/>
          <w:szCs w:val="22"/>
        </w:rPr>
        <w:t xml:space="preserve">: </w:t>
      </w:r>
      <w:r>
        <w:rPr>
          <w:rFonts w:ascii="Avenir Book" w:hAnsi="Avenir Book"/>
          <w:sz w:val="22"/>
          <w:szCs w:val="22"/>
        </w:rPr>
        <w:t>“</w:t>
      </w:r>
      <w:r w:rsidRPr="009A4148">
        <w:rPr>
          <w:rFonts w:ascii="Avenir Book" w:hAnsi="Avenir Book"/>
          <w:sz w:val="22"/>
          <w:szCs w:val="22"/>
        </w:rPr>
        <w:t xml:space="preserve">Repairing the </w:t>
      </w:r>
      <w:r w:rsidR="00CB3D3B">
        <w:rPr>
          <w:rFonts w:ascii="Avenir Book" w:hAnsi="Avenir Book"/>
          <w:sz w:val="22"/>
          <w:szCs w:val="22"/>
        </w:rPr>
        <w:t xml:space="preserve">[cult] </w:t>
      </w:r>
      <w:r w:rsidRPr="009A4148">
        <w:rPr>
          <w:rFonts w:ascii="Avenir Book" w:hAnsi="Avenir Book"/>
          <w:sz w:val="22"/>
          <w:szCs w:val="22"/>
        </w:rPr>
        <w:t>object is thus also repairing harmon</w:t>
      </w:r>
      <w:r>
        <w:rPr>
          <w:rFonts w:ascii="Avenir Book" w:hAnsi="Avenir Book"/>
          <w:sz w:val="22"/>
          <w:szCs w:val="22"/>
        </w:rPr>
        <w:t>y with the divine. The idea of ‘prolonging the present’</w:t>
      </w:r>
      <w:r w:rsidRPr="009A4148">
        <w:rPr>
          <w:rFonts w:ascii="Avenir Book" w:hAnsi="Avenir Book"/>
          <w:sz w:val="22"/>
          <w:szCs w:val="22"/>
        </w:rPr>
        <w:t xml:space="preserve"> of the</w:t>
      </w:r>
      <w:r>
        <w:rPr>
          <w:rFonts w:ascii="Avenir Book" w:hAnsi="Avenir Book"/>
          <w:sz w:val="22"/>
          <w:szCs w:val="22"/>
        </w:rPr>
        <w:t xml:space="preserve"> object is key; the time of maki</w:t>
      </w:r>
      <w:r w:rsidRPr="009A4148">
        <w:rPr>
          <w:rFonts w:ascii="Avenir Book" w:hAnsi="Avenir Book"/>
          <w:sz w:val="22"/>
          <w:szCs w:val="22"/>
        </w:rPr>
        <w:t>ng, breaking</w:t>
      </w:r>
      <w:r>
        <w:rPr>
          <w:rFonts w:ascii="Avenir Book" w:hAnsi="Avenir Book"/>
          <w:sz w:val="22"/>
          <w:szCs w:val="22"/>
        </w:rPr>
        <w:t>,</w:t>
      </w:r>
      <w:r w:rsidRPr="009A4148">
        <w:rPr>
          <w:rFonts w:ascii="Avenir Book" w:hAnsi="Avenir Book"/>
          <w:sz w:val="22"/>
          <w:szCs w:val="22"/>
        </w:rPr>
        <w:t xml:space="preserve"> and repairing are fused so t</w:t>
      </w:r>
      <w:r>
        <w:rPr>
          <w:rFonts w:ascii="Avenir Book" w:hAnsi="Avenir Book"/>
          <w:sz w:val="22"/>
          <w:szCs w:val="22"/>
        </w:rPr>
        <w:t>he object can continue to exist</w:t>
      </w:r>
      <w:r w:rsidRPr="009A4148">
        <w:rPr>
          <w:rFonts w:ascii="Avenir Book" w:hAnsi="Avenir Book"/>
          <w:sz w:val="22"/>
          <w:szCs w:val="22"/>
        </w:rPr>
        <w:t>.</w:t>
      </w:r>
      <w:r>
        <w:rPr>
          <w:rFonts w:ascii="Avenir Book" w:hAnsi="Avenir Book"/>
          <w:sz w:val="22"/>
          <w:szCs w:val="22"/>
        </w:rPr>
        <w:t>”</w:t>
      </w:r>
      <w:r w:rsidRPr="009A4148">
        <w:rPr>
          <w:rStyle w:val="FootnoteReference"/>
          <w:rFonts w:ascii="Avenir Book" w:hAnsi="Avenir Book"/>
          <w:sz w:val="22"/>
          <w:szCs w:val="22"/>
        </w:rPr>
        <w:footnoteReference w:id="15"/>
      </w:r>
      <w:r w:rsidRPr="009A4148">
        <w:rPr>
          <w:rFonts w:ascii="Avenir Book" w:hAnsi="Avenir Book"/>
          <w:sz w:val="22"/>
          <w:szCs w:val="22"/>
        </w:rPr>
        <w:t xml:space="preserve"> </w:t>
      </w:r>
    </w:p>
    <w:p w14:paraId="2702175C" w14:textId="23CDA60D" w:rsidR="005774BC" w:rsidRDefault="00506265" w:rsidP="005774BC">
      <w:pPr>
        <w:ind w:firstLine="720"/>
        <w:rPr>
          <w:rFonts w:ascii="Avenir Book" w:hAnsi="Avenir Book"/>
          <w:sz w:val="22"/>
          <w:szCs w:val="22"/>
        </w:rPr>
      </w:pPr>
      <w:r>
        <w:rPr>
          <w:rFonts w:ascii="Avenir Book" w:hAnsi="Avenir Book"/>
          <w:sz w:val="22"/>
          <w:szCs w:val="22"/>
        </w:rPr>
        <w:t>“Wounded objects”</w:t>
      </w:r>
      <w:r w:rsidRPr="009A4148">
        <w:rPr>
          <w:rStyle w:val="FootnoteReference"/>
          <w:rFonts w:ascii="Avenir Book" w:hAnsi="Avenir Book"/>
          <w:sz w:val="22"/>
          <w:szCs w:val="22"/>
        </w:rPr>
        <w:footnoteReference w:id="16"/>
      </w:r>
      <w:r w:rsidRPr="009A4148">
        <w:rPr>
          <w:rFonts w:ascii="Avenir Book" w:hAnsi="Avenir Book"/>
          <w:sz w:val="22"/>
          <w:szCs w:val="22"/>
        </w:rPr>
        <w:t xml:space="preserve"> </w:t>
      </w:r>
      <w:r>
        <w:rPr>
          <w:rFonts w:ascii="Avenir Book" w:hAnsi="Avenir Book"/>
          <w:sz w:val="22"/>
          <w:szCs w:val="22"/>
        </w:rPr>
        <w:t xml:space="preserve">require mending because their physical </w:t>
      </w:r>
      <w:r w:rsidRPr="009A4148">
        <w:rPr>
          <w:rFonts w:ascii="Avenir Book" w:hAnsi="Avenir Book"/>
          <w:sz w:val="22"/>
          <w:szCs w:val="22"/>
        </w:rPr>
        <w:t>integri</w:t>
      </w:r>
      <w:r>
        <w:rPr>
          <w:rFonts w:ascii="Avenir Book" w:hAnsi="Avenir Book"/>
          <w:sz w:val="22"/>
          <w:szCs w:val="22"/>
        </w:rPr>
        <w:t>ty is critical to their performative efficacy, which</w:t>
      </w:r>
      <w:r w:rsidRPr="009A4148">
        <w:rPr>
          <w:rFonts w:ascii="Avenir Book" w:hAnsi="Avenir Book"/>
          <w:sz w:val="22"/>
          <w:szCs w:val="22"/>
        </w:rPr>
        <w:t xml:space="preserve"> </w:t>
      </w:r>
      <w:r>
        <w:rPr>
          <w:rFonts w:ascii="Avenir Book" w:hAnsi="Avenir Book"/>
          <w:sz w:val="22"/>
          <w:szCs w:val="22"/>
        </w:rPr>
        <w:t>d</w:t>
      </w:r>
      <w:r w:rsidRPr="009A4148">
        <w:rPr>
          <w:rFonts w:ascii="Avenir Book" w:hAnsi="Avenir Book"/>
          <w:sz w:val="22"/>
          <w:szCs w:val="22"/>
        </w:rPr>
        <w:t>amage and d</w:t>
      </w:r>
      <w:r>
        <w:rPr>
          <w:rFonts w:ascii="Avenir Book" w:hAnsi="Avenir Book"/>
          <w:sz w:val="22"/>
          <w:szCs w:val="22"/>
        </w:rPr>
        <w:t>ecay compromise</w:t>
      </w:r>
      <w:r w:rsidRPr="005660AF">
        <w:rPr>
          <w:rFonts w:ascii="Avenir Book" w:hAnsi="Avenir Book"/>
          <w:sz w:val="22"/>
          <w:szCs w:val="22"/>
        </w:rPr>
        <w:t xml:space="preserve"> </w:t>
      </w:r>
      <w:r w:rsidRPr="009A4148">
        <w:rPr>
          <w:rFonts w:ascii="Avenir Book" w:hAnsi="Avenir Book"/>
          <w:sz w:val="22"/>
          <w:szCs w:val="22"/>
        </w:rPr>
        <w:t>by inhibiting</w:t>
      </w:r>
      <w:r w:rsidRPr="009C55E2">
        <w:rPr>
          <w:rFonts w:ascii="Avenir Book" w:hAnsi="Avenir Book"/>
          <w:sz w:val="22"/>
          <w:szCs w:val="22"/>
        </w:rPr>
        <w:t xml:space="preserve"> </w:t>
      </w:r>
      <w:r w:rsidRPr="009A4148">
        <w:rPr>
          <w:rFonts w:ascii="Avenir Book" w:hAnsi="Avenir Book"/>
          <w:sz w:val="22"/>
          <w:szCs w:val="22"/>
        </w:rPr>
        <w:t xml:space="preserve">inherence </w:t>
      </w:r>
      <w:r>
        <w:rPr>
          <w:rFonts w:ascii="Avenir Book" w:hAnsi="Avenir Book"/>
          <w:sz w:val="22"/>
          <w:szCs w:val="22"/>
        </w:rPr>
        <w:t>in them</w:t>
      </w:r>
      <w:r w:rsidRPr="00A62E47">
        <w:rPr>
          <w:rFonts w:ascii="Avenir Book" w:hAnsi="Avenir Book"/>
          <w:sz w:val="22"/>
          <w:szCs w:val="22"/>
        </w:rPr>
        <w:t xml:space="preserve"> </w:t>
      </w:r>
      <w:r>
        <w:rPr>
          <w:rFonts w:ascii="Avenir Book" w:hAnsi="Avenir Book"/>
          <w:sz w:val="22"/>
          <w:szCs w:val="22"/>
        </w:rPr>
        <w:t>of the supernatural energy (</w:t>
      </w:r>
      <w:r w:rsidRPr="00C8141F">
        <w:rPr>
          <w:rFonts w:ascii="Avenir Book" w:hAnsi="Avenir Book" w:cs="Times New Roman"/>
          <w:i/>
          <w:sz w:val="22"/>
          <w:szCs w:val="22"/>
        </w:rPr>
        <w:t>dynamis</w:t>
      </w:r>
      <w:r>
        <w:rPr>
          <w:rFonts w:ascii="Avenir Book" w:hAnsi="Avenir Book"/>
          <w:sz w:val="22"/>
          <w:szCs w:val="22"/>
        </w:rPr>
        <w:t xml:space="preserve"> in Greek, </w:t>
      </w:r>
      <w:r w:rsidRPr="00C8141F">
        <w:rPr>
          <w:rFonts w:ascii="Avenir Book" w:hAnsi="Avenir Book" w:cs="Times New Roman"/>
          <w:i/>
          <w:sz w:val="22"/>
          <w:szCs w:val="22"/>
        </w:rPr>
        <w:t>saksi-siddhi</w:t>
      </w:r>
      <w:r>
        <w:rPr>
          <w:rFonts w:ascii="Avenir Book" w:hAnsi="Avenir Book"/>
          <w:sz w:val="22"/>
          <w:szCs w:val="22"/>
        </w:rPr>
        <w:t xml:space="preserve"> in Sanskrit) that makes such objects </w:t>
      </w:r>
      <w:r w:rsidRPr="00E574DD">
        <w:rPr>
          <w:rFonts w:ascii="Avenir Book" w:hAnsi="Avenir Book"/>
          <w:sz w:val="22"/>
          <w:szCs w:val="22"/>
        </w:rPr>
        <w:t>receptacle</w:t>
      </w:r>
      <w:r>
        <w:rPr>
          <w:rFonts w:ascii="Avenir Book" w:hAnsi="Avenir Book"/>
          <w:sz w:val="22"/>
          <w:szCs w:val="22"/>
        </w:rPr>
        <w:t>s of talismanic powers—and, occasionally, male</w:t>
      </w:r>
      <w:r w:rsidR="002966B5">
        <w:rPr>
          <w:rFonts w:ascii="Avenir Book" w:hAnsi="Avenir Book"/>
          <w:sz w:val="22"/>
          <w:szCs w:val="22"/>
        </w:rPr>
        <w:t xml:space="preserve">volent powers as well. Throughout the ancient, </w:t>
      </w:r>
      <w:r>
        <w:rPr>
          <w:rFonts w:ascii="Avenir Book" w:hAnsi="Avenir Book"/>
          <w:sz w:val="22"/>
          <w:szCs w:val="22"/>
        </w:rPr>
        <w:t xml:space="preserve">medieval </w:t>
      </w:r>
      <w:r w:rsidR="005774BC">
        <w:rPr>
          <w:rFonts w:ascii="Avenir Book" w:hAnsi="Avenir Book"/>
          <w:sz w:val="22"/>
          <w:szCs w:val="22"/>
        </w:rPr>
        <w:t>an</w:t>
      </w:r>
      <w:r w:rsidR="002966B5">
        <w:rPr>
          <w:rFonts w:ascii="Avenir Book" w:hAnsi="Avenir Book"/>
          <w:sz w:val="22"/>
          <w:szCs w:val="22"/>
        </w:rPr>
        <w:t xml:space="preserve">d early modern </w:t>
      </w:r>
      <w:r w:rsidR="005774BC">
        <w:rPr>
          <w:rFonts w:ascii="Avenir Book" w:hAnsi="Avenir Book"/>
          <w:sz w:val="22"/>
          <w:szCs w:val="22"/>
        </w:rPr>
        <w:t>world, ther</w:t>
      </w:r>
      <w:r>
        <w:rPr>
          <w:rFonts w:ascii="Avenir Book" w:hAnsi="Avenir Book"/>
          <w:sz w:val="22"/>
          <w:szCs w:val="22"/>
        </w:rPr>
        <w:t xml:space="preserve">e </w:t>
      </w:r>
      <w:r w:rsidR="005774BC">
        <w:rPr>
          <w:rFonts w:ascii="Avenir Book" w:hAnsi="Avenir Book"/>
          <w:sz w:val="22"/>
          <w:szCs w:val="22"/>
        </w:rPr>
        <w:t xml:space="preserve">were </w:t>
      </w:r>
      <w:r>
        <w:rPr>
          <w:rFonts w:ascii="Avenir Book" w:hAnsi="Avenir Book"/>
          <w:sz w:val="22"/>
          <w:szCs w:val="22"/>
        </w:rPr>
        <w:t xml:space="preserve">statues </w:t>
      </w:r>
      <w:r w:rsidR="005774BC">
        <w:rPr>
          <w:rFonts w:ascii="Avenir Book" w:hAnsi="Avenir Book"/>
          <w:sz w:val="22"/>
          <w:szCs w:val="22"/>
        </w:rPr>
        <w:t xml:space="preserve">that </w:t>
      </w:r>
      <w:r>
        <w:rPr>
          <w:rFonts w:ascii="Avenir Book" w:hAnsi="Avenir Book"/>
          <w:sz w:val="22"/>
          <w:szCs w:val="22"/>
        </w:rPr>
        <w:t xml:space="preserve">enjoyed a </w:t>
      </w:r>
      <w:r w:rsidRPr="000979D4">
        <w:rPr>
          <w:rFonts w:ascii="Avenir Book" w:hAnsi="Avenir Book"/>
          <w:sz w:val="22"/>
          <w:szCs w:val="22"/>
        </w:rPr>
        <w:t>fearsome</w:t>
      </w:r>
      <w:r>
        <w:rPr>
          <w:rFonts w:ascii="Avenir Book" w:hAnsi="Avenir Book"/>
          <w:sz w:val="22"/>
          <w:szCs w:val="22"/>
        </w:rPr>
        <w:t xml:space="preserve"> reputation for punishing people who </w:t>
      </w:r>
      <w:r w:rsidRPr="000735A3">
        <w:rPr>
          <w:rFonts w:ascii="Avenir Book" w:hAnsi="Avenir Book"/>
          <w:sz w:val="22"/>
          <w:szCs w:val="22"/>
        </w:rPr>
        <w:t>insulted</w:t>
      </w:r>
      <w:r>
        <w:rPr>
          <w:rFonts w:ascii="Avenir Book" w:hAnsi="Avenir Book"/>
          <w:sz w:val="22"/>
          <w:szCs w:val="22"/>
        </w:rPr>
        <w:t xml:space="preserve">, injured, and treated them carelessly. (Ostensibly stemming from beliefs in the invisibility of the </w:t>
      </w:r>
      <w:r w:rsidRPr="00DA088E">
        <w:rPr>
          <w:rFonts w:ascii="Avenir Book" w:hAnsi="Avenir Book"/>
          <w:sz w:val="22"/>
          <w:szCs w:val="22"/>
        </w:rPr>
        <w:t>true</w:t>
      </w:r>
      <w:r>
        <w:rPr>
          <w:rFonts w:ascii="Avenir Book" w:hAnsi="Avenir Book"/>
          <w:sz w:val="22"/>
          <w:szCs w:val="22"/>
        </w:rPr>
        <w:t xml:space="preserve"> god and </w:t>
      </w:r>
      <w:r w:rsidRPr="00DA088E">
        <w:rPr>
          <w:rFonts w:ascii="Avenir Book" w:hAnsi="Avenir Book"/>
          <w:sz w:val="22"/>
          <w:szCs w:val="22"/>
        </w:rPr>
        <w:t>disdain</w:t>
      </w:r>
      <w:r>
        <w:rPr>
          <w:rFonts w:ascii="Avenir Book" w:hAnsi="Avenir Book"/>
          <w:sz w:val="22"/>
          <w:szCs w:val="22"/>
        </w:rPr>
        <w:t xml:space="preserve"> for inanimate matter,</w:t>
      </w:r>
      <w:r w:rsidRPr="00C265EB">
        <w:rPr>
          <w:rFonts w:ascii="Avenir Book" w:hAnsi="Avenir Book"/>
          <w:sz w:val="22"/>
          <w:szCs w:val="22"/>
        </w:rPr>
        <w:t xml:space="preserve"> </w:t>
      </w:r>
      <w:r>
        <w:rPr>
          <w:rFonts w:ascii="Avenir Book" w:hAnsi="Avenir Book"/>
          <w:sz w:val="22"/>
          <w:szCs w:val="22"/>
        </w:rPr>
        <w:t>the Judaic and Islamic ban on images reflects</w:t>
      </w:r>
      <w:r w:rsidRPr="009A4148">
        <w:rPr>
          <w:rFonts w:ascii="Avenir Book" w:hAnsi="Avenir Book"/>
          <w:sz w:val="22"/>
          <w:szCs w:val="22"/>
        </w:rPr>
        <w:t xml:space="preserve"> fear </w:t>
      </w:r>
      <w:r>
        <w:rPr>
          <w:rFonts w:ascii="Avenir Book" w:hAnsi="Avenir Book"/>
          <w:sz w:val="22"/>
          <w:szCs w:val="22"/>
        </w:rPr>
        <w:t>that statues could be animated by sorcery, as in the Jewish folktale of the golem.)</w:t>
      </w:r>
      <w:r w:rsidR="005774BC">
        <w:rPr>
          <w:rFonts w:ascii="Avenir Book" w:hAnsi="Avenir Book"/>
          <w:sz w:val="22"/>
          <w:szCs w:val="22"/>
        </w:rPr>
        <w:t xml:space="preserve"> Devotional conservation a</w:t>
      </w:r>
      <w:r>
        <w:rPr>
          <w:rFonts w:ascii="Avenir Book" w:hAnsi="Avenir Book"/>
          <w:sz w:val="22"/>
          <w:szCs w:val="22"/>
        </w:rPr>
        <w:t>i</w:t>
      </w:r>
      <w:r w:rsidR="005774BC">
        <w:rPr>
          <w:rFonts w:ascii="Avenir Book" w:hAnsi="Avenir Book"/>
          <w:sz w:val="22"/>
          <w:szCs w:val="22"/>
        </w:rPr>
        <w:t>ms</w:t>
      </w:r>
      <w:r>
        <w:rPr>
          <w:rFonts w:ascii="Avenir Book" w:hAnsi="Avenir Book"/>
          <w:sz w:val="22"/>
          <w:szCs w:val="22"/>
        </w:rPr>
        <w:t xml:space="preserve"> to maintain cult objects and sites in an </w:t>
      </w:r>
      <w:r w:rsidRPr="009A4148">
        <w:rPr>
          <w:rFonts w:ascii="Avenir Book" w:hAnsi="Avenir Book"/>
          <w:sz w:val="22"/>
          <w:szCs w:val="22"/>
        </w:rPr>
        <w:t xml:space="preserve">uncorrupted state </w:t>
      </w:r>
      <w:r w:rsidR="002573B3">
        <w:rPr>
          <w:rFonts w:ascii="Avenir Book" w:hAnsi="Avenir Book"/>
          <w:sz w:val="22"/>
          <w:szCs w:val="22"/>
        </w:rPr>
        <w:t xml:space="preserve">that </w:t>
      </w:r>
      <w:r w:rsidR="005774BC">
        <w:rPr>
          <w:rFonts w:ascii="Avenir Book" w:hAnsi="Avenir Book"/>
          <w:sz w:val="22"/>
          <w:szCs w:val="22"/>
        </w:rPr>
        <w:t xml:space="preserve">mirrors </w:t>
      </w:r>
      <w:r w:rsidR="005774BC" w:rsidRPr="009A4148">
        <w:rPr>
          <w:rFonts w:ascii="Avenir Book" w:hAnsi="Avenir Book"/>
          <w:sz w:val="22"/>
          <w:szCs w:val="22"/>
        </w:rPr>
        <w:t>eternity</w:t>
      </w:r>
      <w:r w:rsidR="005774BC">
        <w:rPr>
          <w:rFonts w:ascii="Avenir Book" w:hAnsi="Avenir Book"/>
          <w:sz w:val="22"/>
          <w:szCs w:val="22"/>
        </w:rPr>
        <w:t xml:space="preserve"> (the dimens</w:t>
      </w:r>
      <w:r w:rsidR="002573B3">
        <w:rPr>
          <w:rFonts w:ascii="Avenir Book" w:hAnsi="Avenir Book"/>
          <w:sz w:val="22"/>
          <w:szCs w:val="22"/>
        </w:rPr>
        <w:t>ion of sacred time), for an arte</w:t>
      </w:r>
      <w:r w:rsidR="005774BC">
        <w:rPr>
          <w:rFonts w:ascii="Avenir Book" w:hAnsi="Avenir Book"/>
          <w:sz w:val="22"/>
          <w:szCs w:val="22"/>
        </w:rPr>
        <w:t xml:space="preserve">fact that is consigned to historical time is bound not just to decay, but to lose its thaumatugic </w:t>
      </w:r>
      <w:r w:rsidR="005774BC" w:rsidRPr="0085313B">
        <w:rPr>
          <w:rFonts w:ascii="Avenir Book" w:hAnsi="Avenir Book"/>
          <w:sz w:val="22"/>
          <w:szCs w:val="22"/>
        </w:rPr>
        <w:t>s</w:t>
      </w:r>
      <w:r w:rsidR="005774BC">
        <w:rPr>
          <w:rFonts w:ascii="Avenir Book" w:hAnsi="Avenir Book"/>
          <w:sz w:val="22"/>
          <w:szCs w:val="22"/>
        </w:rPr>
        <w:t>trength. Devotional conservation’s underlying conception</w:t>
      </w:r>
      <w:r w:rsidR="005774BC" w:rsidRPr="009A4148">
        <w:rPr>
          <w:rFonts w:ascii="Avenir Book" w:hAnsi="Avenir Book"/>
          <w:sz w:val="22"/>
          <w:szCs w:val="22"/>
        </w:rPr>
        <w:t xml:space="preserve"> </w:t>
      </w:r>
      <w:r w:rsidR="005774BC">
        <w:rPr>
          <w:rFonts w:ascii="Avenir Book" w:hAnsi="Avenir Book"/>
          <w:sz w:val="22"/>
          <w:szCs w:val="22"/>
        </w:rPr>
        <w:t>of time thus differs profoundly from that underlying scientific conservation</w:t>
      </w:r>
      <w:r w:rsidR="005774BC" w:rsidRPr="009A4148">
        <w:rPr>
          <w:rFonts w:ascii="Avenir Book" w:hAnsi="Avenir Book"/>
          <w:sz w:val="22"/>
          <w:szCs w:val="22"/>
        </w:rPr>
        <w:t>,</w:t>
      </w:r>
      <w:r w:rsidR="005774BC">
        <w:rPr>
          <w:rFonts w:ascii="Avenir Book" w:hAnsi="Avenir Book"/>
          <w:sz w:val="22"/>
          <w:szCs w:val="22"/>
        </w:rPr>
        <w:t xml:space="preserve"> which seeks to remedy the destructive effects of the passing of time while accepting </w:t>
      </w:r>
      <w:r w:rsidR="002573B3">
        <w:rPr>
          <w:rFonts w:ascii="Avenir Book" w:hAnsi="Avenir Book"/>
          <w:sz w:val="22"/>
          <w:szCs w:val="22"/>
        </w:rPr>
        <w:t>that these effects are part and parcel of the arte</w:t>
      </w:r>
      <w:r w:rsidR="005774BC">
        <w:rPr>
          <w:rFonts w:ascii="Avenir Book" w:hAnsi="Avenir Book"/>
          <w:sz w:val="22"/>
          <w:szCs w:val="22"/>
        </w:rPr>
        <w:t xml:space="preserve">fact’s historicity. </w:t>
      </w:r>
    </w:p>
    <w:p w14:paraId="3CC74BE8" w14:textId="6671D5CD" w:rsidR="0089240A" w:rsidRDefault="00CC005E" w:rsidP="0089240A">
      <w:pPr>
        <w:ind w:firstLine="720"/>
        <w:rPr>
          <w:rFonts w:ascii="Avenir Book" w:hAnsi="Avenir Book"/>
          <w:sz w:val="22"/>
          <w:szCs w:val="22"/>
        </w:rPr>
      </w:pPr>
      <w:r>
        <w:rPr>
          <w:rFonts w:ascii="Avenir Book" w:hAnsi="Avenir Book"/>
          <w:sz w:val="22"/>
          <w:szCs w:val="22"/>
        </w:rPr>
        <w:t xml:space="preserve">Concern with the injuries wrought by </w:t>
      </w:r>
      <w:r w:rsidR="002573B3">
        <w:rPr>
          <w:rFonts w:ascii="Avenir Book" w:hAnsi="Avenir Book"/>
          <w:sz w:val="22"/>
          <w:szCs w:val="22"/>
        </w:rPr>
        <w:t>historical time on cultural arte</w:t>
      </w:r>
      <w:r>
        <w:rPr>
          <w:rFonts w:ascii="Avenir Book" w:hAnsi="Avenir Book"/>
          <w:sz w:val="22"/>
          <w:szCs w:val="22"/>
        </w:rPr>
        <w:t xml:space="preserve">facts entails the </w:t>
      </w:r>
      <w:r w:rsidRPr="001741F5">
        <w:rPr>
          <w:rFonts w:ascii="Avenir Book" w:hAnsi="Avenir Book"/>
          <w:sz w:val="22"/>
          <w:szCs w:val="22"/>
        </w:rPr>
        <w:t>idea</w:t>
      </w:r>
      <w:r>
        <w:rPr>
          <w:rFonts w:ascii="Avenir Book" w:hAnsi="Avenir Book"/>
          <w:sz w:val="22"/>
          <w:szCs w:val="22"/>
        </w:rPr>
        <w:t xml:space="preserve">, internationalized by UNESCO, that their preservation is the moral duty of every current generation towards future ones, a duty that is crucial to the transmission of cultural memory. </w:t>
      </w:r>
      <w:r w:rsidR="0089240A">
        <w:rPr>
          <w:rFonts w:ascii="Avenir Book" w:hAnsi="Avenir Book"/>
          <w:sz w:val="22"/>
          <w:szCs w:val="22"/>
        </w:rPr>
        <w:t>Egy</w:t>
      </w:r>
      <w:r w:rsidR="00FA76EF">
        <w:rPr>
          <w:rFonts w:ascii="Avenir Book" w:hAnsi="Avenir Book"/>
          <w:sz w:val="22"/>
          <w:szCs w:val="22"/>
        </w:rPr>
        <w:t>ptologist Jan Assmann, who propos</w:t>
      </w:r>
      <w:r w:rsidR="0089240A">
        <w:rPr>
          <w:rFonts w:ascii="Avenir Book" w:hAnsi="Avenir Book"/>
          <w:sz w:val="22"/>
          <w:szCs w:val="22"/>
        </w:rPr>
        <w:t>ed the c</w:t>
      </w:r>
      <w:r w:rsidR="0089240A" w:rsidRPr="00872B01">
        <w:rPr>
          <w:rFonts w:ascii="Avenir Book" w:hAnsi="Avenir Book"/>
          <w:sz w:val="22"/>
          <w:szCs w:val="22"/>
        </w:rPr>
        <w:t>on</w:t>
      </w:r>
      <w:r w:rsidR="0089240A">
        <w:rPr>
          <w:rFonts w:ascii="Avenir Book" w:hAnsi="Avenir Book"/>
          <w:sz w:val="22"/>
          <w:szCs w:val="22"/>
        </w:rPr>
        <w:t xml:space="preserve">cept, defines cultural memory as “that body of reusable texts, images, and rituals specific to each society in each epoch,” and argues that it was first </w:t>
      </w:r>
      <w:r w:rsidR="0089240A" w:rsidRPr="003905E6">
        <w:rPr>
          <w:rFonts w:ascii="Avenir Book" w:hAnsi="Avenir Book"/>
          <w:sz w:val="22"/>
          <w:szCs w:val="22"/>
        </w:rPr>
        <w:t>institutionalised</w:t>
      </w:r>
      <w:r w:rsidR="0089240A">
        <w:rPr>
          <w:rFonts w:ascii="Avenir Book" w:hAnsi="Avenir Book"/>
          <w:sz w:val="22"/>
          <w:szCs w:val="22"/>
        </w:rPr>
        <w:t xml:space="preserve"> in the literate societies of the ancient Near East, where writing l</w:t>
      </w:r>
      <w:r w:rsidR="005E4EB8">
        <w:rPr>
          <w:rFonts w:ascii="Avenir Book" w:hAnsi="Avenir Book"/>
          <w:sz w:val="22"/>
          <w:szCs w:val="22"/>
        </w:rPr>
        <w:t>ed to the codification of canonical</w:t>
      </w:r>
      <w:r w:rsidR="0089240A">
        <w:rPr>
          <w:rFonts w:ascii="Avenir Book" w:hAnsi="Avenir Book"/>
          <w:sz w:val="22"/>
          <w:szCs w:val="22"/>
        </w:rPr>
        <w:t xml:space="preserve"> traditions. Whereas “communicative” (i.e., verbally transmitted) memory is quotidian and profane, cultural memory is festive and transcendent</w:t>
      </w:r>
      <w:r w:rsidR="0089240A" w:rsidRPr="001826F9">
        <w:rPr>
          <w:rFonts w:ascii="Avenir Book" w:hAnsi="Avenir Book"/>
          <w:sz w:val="22"/>
          <w:szCs w:val="22"/>
        </w:rPr>
        <w:t xml:space="preserve"> </w:t>
      </w:r>
      <w:r w:rsidR="0089240A">
        <w:rPr>
          <w:rFonts w:ascii="Avenir Book" w:hAnsi="Avenir Book"/>
          <w:sz w:val="22"/>
          <w:szCs w:val="22"/>
        </w:rPr>
        <w:t xml:space="preserve">for Assmann, who </w:t>
      </w:r>
      <w:r w:rsidR="00CB3D3B" w:rsidRPr="00CB3D3B">
        <w:rPr>
          <w:rFonts w:ascii="Avenir Book" w:hAnsi="Avenir Book"/>
          <w:sz w:val="22"/>
          <w:szCs w:val="22"/>
        </w:rPr>
        <w:t>designates</w:t>
      </w:r>
      <w:r w:rsidR="0089240A">
        <w:rPr>
          <w:rFonts w:ascii="Avenir Book" w:hAnsi="Avenir Book"/>
          <w:sz w:val="22"/>
          <w:szCs w:val="22"/>
        </w:rPr>
        <w:t xml:space="preserve">  “mythical primordial time” as the temporal horizon of cultural memory in contrast to communicative memory’s “recent past” (i.e., the timespan encompassed by three to four living generations).</w:t>
      </w:r>
      <w:r w:rsidR="0089240A" w:rsidRPr="0089240A">
        <w:rPr>
          <w:rFonts w:ascii="Avenir Book" w:hAnsi="Avenir Book"/>
          <w:sz w:val="22"/>
          <w:szCs w:val="22"/>
        </w:rPr>
        <w:t xml:space="preserve"> </w:t>
      </w:r>
      <w:r w:rsidR="00B10ACF">
        <w:rPr>
          <w:rFonts w:ascii="Avenir Book" w:hAnsi="Avenir Book"/>
          <w:sz w:val="22"/>
          <w:szCs w:val="22"/>
        </w:rPr>
        <w:t>Accordingly,</w:t>
      </w:r>
      <w:r w:rsidR="0089240A">
        <w:rPr>
          <w:rFonts w:ascii="Avenir Book" w:hAnsi="Avenir Book"/>
          <w:sz w:val="22"/>
          <w:szCs w:val="22"/>
        </w:rPr>
        <w:t xml:space="preserve"> “cultural memory is imbued with an element of the sacred.”</w:t>
      </w:r>
      <w:r w:rsidR="0089240A">
        <w:rPr>
          <w:rStyle w:val="FootnoteReference"/>
          <w:rFonts w:ascii="Avenir Book" w:hAnsi="Avenir Book"/>
          <w:sz w:val="22"/>
          <w:szCs w:val="22"/>
        </w:rPr>
        <w:footnoteReference w:id="17"/>
      </w:r>
      <w:r w:rsidR="0089240A">
        <w:rPr>
          <w:rFonts w:ascii="Avenir Book" w:hAnsi="Avenir Book"/>
          <w:sz w:val="22"/>
          <w:szCs w:val="22"/>
        </w:rPr>
        <w:t xml:space="preserve"> </w:t>
      </w:r>
    </w:p>
    <w:p w14:paraId="6D14D820" w14:textId="77777777" w:rsidR="00506265" w:rsidRDefault="00506265" w:rsidP="00506265">
      <w:pPr>
        <w:ind w:firstLine="720"/>
        <w:rPr>
          <w:rFonts w:ascii="Avenir Book" w:hAnsi="Avenir Book"/>
          <w:sz w:val="22"/>
          <w:szCs w:val="22"/>
        </w:rPr>
      </w:pPr>
      <w:r>
        <w:rPr>
          <w:rFonts w:ascii="Avenir Book" w:hAnsi="Avenir Book"/>
          <w:sz w:val="22"/>
          <w:szCs w:val="22"/>
        </w:rPr>
        <w:t>T</w:t>
      </w:r>
      <w:r w:rsidRPr="009A4148">
        <w:rPr>
          <w:rFonts w:ascii="Avenir Book" w:hAnsi="Avenir Book"/>
          <w:sz w:val="22"/>
          <w:szCs w:val="22"/>
        </w:rPr>
        <w:t>he fun</w:t>
      </w:r>
      <w:r>
        <w:rPr>
          <w:rFonts w:ascii="Avenir Book" w:hAnsi="Avenir Book"/>
          <w:sz w:val="22"/>
          <w:szCs w:val="22"/>
        </w:rPr>
        <w:t>ctional and ideological opposite of devotional caring is iconoclasm—notwithstanding Tzvetan Todorov’s astute remark</w:t>
      </w:r>
      <w:r w:rsidRPr="0091230E">
        <w:rPr>
          <w:rFonts w:ascii="Avenir Book" w:hAnsi="Avenir Book"/>
          <w:sz w:val="22"/>
          <w:szCs w:val="22"/>
        </w:rPr>
        <w:t xml:space="preserve"> </w:t>
      </w:r>
      <w:r>
        <w:rPr>
          <w:rFonts w:ascii="Avenir Book" w:hAnsi="Avenir Book"/>
          <w:sz w:val="22"/>
          <w:szCs w:val="22"/>
        </w:rPr>
        <w:t>that “</w:t>
      </w:r>
      <w:r w:rsidRPr="009A4148">
        <w:rPr>
          <w:rFonts w:ascii="Avenir Book" w:hAnsi="Avenir Book"/>
          <w:sz w:val="22"/>
          <w:szCs w:val="22"/>
        </w:rPr>
        <w:t>religious conquest often consists in removing from a holy place certain images and establishing o</w:t>
      </w:r>
      <w:r>
        <w:rPr>
          <w:rFonts w:ascii="Avenir Book" w:hAnsi="Avenir Book"/>
          <w:sz w:val="22"/>
          <w:szCs w:val="22"/>
        </w:rPr>
        <w:t>thers there instead, preserving—and this is essential—</w:t>
      </w:r>
      <w:r w:rsidRPr="009A4148">
        <w:rPr>
          <w:rFonts w:ascii="Avenir Book" w:hAnsi="Avenir Book"/>
          <w:sz w:val="22"/>
          <w:szCs w:val="22"/>
        </w:rPr>
        <w:t>the cult sites in which the</w:t>
      </w:r>
      <w:r>
        <w:rPr>
          <w:rFonts w:ascii="Avenir Book" w:hAnsi="Avenir Book"/>
          <w:sz w:val="22"/>
          <w:szCs w:val="22"/>
        </w:rPr>
        <w:t xml:space="preserve"> same aromatic herbs are burned.”</w:t>
      </w:r>
      <w:r>
        <w:rPr>
          <w:rStyle w:val="FootnoteReference"/>
          <w:rFonts w:ascii="Avenir Book" w:hAnsi="Avenir Book"/>
          <w:sz w:val="22"/>
          <w:szCs w:val="22"/>
        </w:rPr>
        <w:footnoteReference w:id="18"/>
      </w:r>
      <w:r>
        <w:rPr>
          <w:rFonts w:ascii="Avenir Book" w:hAnsi="Avenir Book"/>
          <w:sz w:val="22"/>
          <w:szCs w:val="22"/>
        </w:rPr>
        <w:t xml:space="preserve"> The aim of iconoclasm, whatever its degree</w:t>
      </w:r>
      <w:r w:rsidRPr="009A4148">
        <w:rPr>
          <w:rFonts w:ascii="Avenir Book" w:hAnsi="Avenir Book"/>
          <w:sz w:val="22"/>
          <w:szCs w:val="22"/>
        </w:rPr>
        <w:t xml:space="preserve"> (removal,</w:t>
      </w:r>
      <w:r>
        <w:rPr>
          <w:rFonts w:ascii="Avenir Book" w:hAnsi="Avenir Book"/>
          <w:sz w:val="22"/>
          <w:szCs w:val="22"/>
        </w:rPr>
        <w:t xml:space="preserve"> mutilation, destruction), is </w:t>
      </w:r>
      <w:r w:rsidRPr="009A4148">
        <w:rPr>
          <w:rFonts w:ascii="Avenir Book" w:hAnsi="Avenir Book"/>
          <w:sz w:val="22"/>
          <w:szCs w:val="22"/>
        </w:rPr>
        <w:t xml:space="preserve">to terminate the life of sacred </w:t>
      </w:r>
      <w:r>
        <w:rPr>
          <w:rFonts w:ascii="Avenir Book" w:hAnsi="Avenir Book"/>
          <w:sz w:val="22"/>
          <w:szCs w:val="22"/>
        </w:rPr>
        <w:t xml:space="preserve">sites and </w:t>
      </w:r>
      <w:r w:rsidRPr="009A4148">
        <w:rPr>
          <w:rFonts w:ascii="Avenir Book" w:hAnsi="Avenir Book"/>
          <w:sz w:val="22"/>
          <w:szCs w:val="22"/>
        </w:rPr>
        <w:t>o</w:t>
      </w:r>
      <w:r>
        <w:rPr>
          <w:rFonts w:ascii="Avenir Book" w:hAnsi="Avenir Book"/>
          <w:sz w:val="22"/>
          <w:szCs w:val="22"/>
        </w:rPr>
        <w:t xml:space="preserve">bjects by destroying their physical as well as their </w:t>
      </w:r>
      <w:r w:rsidRPr="009A4148">
        <w:rPr>
          <w:rFonts w:ascii="Avenir Book" w:hAnsi="Avenir Book"/>
          <w:sz w:val="22"/>
          <w:szCs w:val="22"/>
        </w:rPr>
        <w:t xml:space="preserve">semiotic </w:t>
      </w:r>
      <w:r>
        <w:rPr>
          <w:rFonts w:ascii="Avenir Book" w:hAnsi="Avenir Book"/>
          <w:sz w:val="22"/>
          <w:szCs w:val="22"/>
        </w:rPr>
        <w:t xml:space="preserve">structure, as argued </w:t>
      </w:r>
      <w:r w:rsidRPr="009A4148">
        <w:rPr>
          <w:rFonts w:ascii="Avenir Book" w:hAnsi="Avenir Book"/>
          <w:sz w:val="22"/>
          <w:szCs w:val="22"/>
        </w:rPr>
        <w:t>by Rambelli and</w:t>
      </w:r>
      <w:r>
        <w:rPr>
          <w:rFonts w:ascii="Avenir Book" w:hAnsi="Avenir Book"/>
          <w:sz w:val="22"/>
          <w:szCs w:val="22"/>
        </w:rPr>
        <w:t xml:space="preserve"> Reinders, who </w:t>
      </w:r>
      <w:r w:rsidRPr="009A4148">
        <w:rPr>
          <w:rFonts w:ascii="Avenir Book" w:hAnsi="Avenir Book"/>
          <w:sz w:val="22"/>
          <w:szCs w:val="22"/>
        </w:rPr>
        <w:t>propose</w:t>
      </w:r>
      <w:r>
        <w:rPr>
          <w:rFonts w:ascii="Avenir Book" w:hAnsi="Avenir Book"/>
          <w:sz w:val="22"/>
          <w:szCs w:val="22"/>
        </w:rPr>
        <w:t xml:space="preserve"> to broaden </w:t>
      </w:r>
      <w:r w:rsidRPr="009A4148">
        <w:rPr>
          <w:rFonts w:ascii="Avenir Book" w:hAnsi="Avenir Book"/>
          <w:sz w:val="22"/>
          <w:szCs w:val="22"/>
        </w:rPr>
        <w:t>the not</w:t>
      </w:r>
      <w:r>
        <w:rPr>
          <w:rFonts w:ascii="Avenir Book" w:hAnsi="Avenir Book"/>
          <w:sz w:val="22"/>
          <w:szCs w:val="22"/>
        </w:rPr>
        <w:t xml:space="preserve">ion of iconoclasm into that of </w:t>
      </w:r>
      <w:r w:rsidRPr="009A4148">
        <w:rPr>
          <w:rFonts w:ascii="Avenir Book" w:hAnsi="Avenir Book"/>
          <w:sz w:val="22"/>
          <w:szCs w:val="22"/>
        </w:rPr>
        <w:t>hieroclasm</w:t>
      </w:r>
      <w:r>
        <w:rPr>
          <w:rFonts w:ascii="Avenir Book" w:hAnsi="Avenir Book"/>
          <w:sz w:val="22"/>
          <w:szCs w:val="22"/>
        </w:rPr>
        <w:t>.</w:t>
      </w:r>
      <w:r w:rsidRPr="009A4148">
        <w:rPr>
          <w:rStyle w:val="FootnoteReference"/>
          <w:rFonts w:ascii="Avenir Book" w:hAnsi="Avenir Book"/>
          <w:sz w:val="22"/>
          <w:szCs w:val="22"/>
        </w:rPr>
        <w:footnoteReference w:id="19"/>
      </w:r>
      <w:r>
        <w:rPr>
          <w:rFonts w:ascii="Avenir Book" w:hAnsi="Avenir Book"/>
          <w:sz w:val="22"/>
          <w:szCs w:val="22"/>
        </w:rPr>
        <w:t xml:space="preserve"> Even though “</w:t>
      </w:r>
      <w:r w:rsidRPr="009A4148">
        <w:rPr>
          <w:rFonts w:ascii="Avenir Book" w:hAnsi="Avenir Book"/>
          <w:sz w:val="22"/>
          <w:szCs w:val="22"/>
        </w:rPr>
        <w:t>the specific reasons for s</w:t>
      </w:r>
      <w:r>
        <w:rPr>
          <w:rFonts w:ascii="Avenir Book" w:hAnsi="Avenir Book"/>
          <w:sz w:val="22"/>
          <w:szCs w:val="22"/>
        </w:rPr>
        <w:t xml:space="preserve">mashing </w:t>
      </w:r>
      <w:r w:rsidRPr="009A4148">
        <w:rPr>
          <w:rFonts w:ascii="Avenir Book" w:hAnsi="Avenir Book"/>
          <w:sz w:val="22"/>
          <w:szCs w:val="22"/>
        </w:rPr>
        <w:t>images differ from one country to the othe</w:t>
      </w:r>
      <w:r>
        <w:rPr>
          <w:rFonts w:ascii="Avenir Book" w:hAnsi="Avenir Book"/>
          <w:sz w:val="22"/>
          <w:szCs w:val="22"/>
        </w:rPr>
        <w:t>r and from one age to the other</w:t>
      </w:r>
      <w:r w:rsidRPr="009A4148">
        <w:rPr>
          <w:rFonts w:ascii="Avenir Book" w:hAnsi="Avenir Book"/>
          <w:sz w:val="22"/>
          <w:szCs w:val="22"/>
        </w:rPr>
        <w:t>,</w:t>
      </w:r>
      <w:r>
        <w:rPr>
          <w:rFonts w:ascii="Avenir Book" w:hAnsi="Avenir Book"/>
          <w:sz w:val="22"/>
          <w:szCs w:val="22"/>
        </w:rPr>
        <w:t>”</w:t>
      </w:r>
      <w:r w:rsidRPr="009A4148">
        <w:rPr>
          <w:rStyle w:val="FootnoteReference"/>
          <w:rFonts w:ascii="Avenir Book" w:hAnsi="Avenir Book"/>
          <w:sz w:val="22"/>
          <w:szCs w:val="22"/>
        </w:rPr>
        <w:footnoteReference w:id="20"/>
      </w:r>
      <w:r>
        <w:rPr>
          <w:rFonts w:ascii="Avenir Book" w:hAnsi="Avenir Book"/>
          <w:sz w:val="22"/>
          <w:szCs w:val="22"/>
        </w:rPr>
        <w:t xml:space="preserve"> iconoclasm</w:t>
      </w:r>
      <w:r w:rsidRPr="009A4148">
        <w:rPr>
          <w:rFonts w:ascii="Avenir Book" w:hAnsi="Avenir Book"/>
          <w:sz w:val="22"/>
          <w:szCs w:val="22"/>
        </w:rPr>
        <w:t xml:space="preserve"> </w:t>
      </w:r>
      <w:r>
        <w:rPr>
          <w:rFonts w:ascii="Avenir Book" w:hAnsi="Avenir Book"/>
          <w:sz w:val="22"/>
          <w:szCs w:val="22"/>
        </w:rPr>
        <w:t>can be seen as the violent reaction against that “power of images”</w:t>
      </w:r>
      <w:r w:rsidRPr="009A4148">
        <w:rPr>
          <w:rFonts w:ascii="Avenir Book" w:hAnsi="Avenir Book"/>
          <w:sz w:val="22"/>
          <w:szCs w:val="22"/>
        </w:rPr>
        <w:t xml:space="preserve"> </w:t>
      </w:r>
      <w:r>
        <w:rPr>
          <w:rFonts w:ascii="Avenir Book" w:hAnsi="Avenir Book"/>
          <w:sz w:val="22"/>
          <w:szCs w:val="22"/>
        </w:rPr>
        <w:t>that stir</w:t>
      </w:r>
      <w:r w:rsidRPr="001B2935">
        <w:rPr>
          <w:rFonts w:ascii="Avenir Book" w:hAnsi="Avenir Book"/>
          <w:sz w:val="22"/>
          <w:szCs w:val="22"/>
        </w:rPr>
        <w:t>s</w:t>
      </w:r>
      <w:r>
        <w:rPr>
          <w:rFonts w:ascii="Avenir Book" w:hAnsi="Avenir Book"/>
          <w:sz w:val="22"/>
          <w:szCs w:val="22"/>
        </w:rPr>
        <w:t xml:space="preserve"> up veneration to begin with. The disfigurement of statues of emperors, kings, and dictators is, likewise, not a merely symbolic act, but one reflecting the belief that “</w:t>
      </w:r>
      <w:r w:rsidRPr="009A4148">
        <w:rPr>
          <w:rFonts w:ascii="Avenir Book" w:hAnsi="Avenir Book"/>
          <w:sz w:val="22"/>
          <w:szCs w:val="22"/>
        </w:rPr>
        <w:t xml:space="preserve">by damaging the representation, one damages </w:t>
      </w:r>
      <w:r>
        <w:rPr>
          <w:rFonts w:ascii="Avenir Book" w:hAnsi="Avenir Book"/>
          <w:sz w:val="22"/>
          <w:szCs w:val="22"/>
        </w:rPr>
        <w:t>the person whom it represents</w:t>
      </w:r>
      <w:r w:rsidRPr="009A4148">
        <w:rPr>
          <w:rFonts w:ascii="Avenir Book" w:hAnsi="Avenir Book"/>
          <w:sz w:val="22"/>
          <w:szCs w:val="22"/>
        </w:rPr>
        <w:t>.</w:t>
      </w:r>
      <w:r>
        <w:rPr>
          <w:rFonts w:ascii="Avenir Book" w:hAnsi="Avenir Book"/>
          <w:sz w:val="22"/>
          <w:szCs w:val="22"/>
        </w:rPr>
        <w:t>”</w:t>
      </w:r>
      <w:r w:rsidRPr="009A4148">
        <w:rPr>
          <w:rStyle w:val="FootnoteReference"/>
          <w:rFonts w:ascii="Avenir Book" w:hAnsi="Avenir Book"/>
          <w:sz w:val="22"/>
          <w:szCs w:val="22"/>
        </w:rPr>
        <w:footnoteReference w:id="21"/>
      </w:r>
      <w:r>
        <w:rPr>
          <w:rFonts w:ascii="Avenir Book" w:hAnsi="Avenir Book"/>
          <w:sz w:val="22"/>
          <w:szCs w:val="22"/>
        </w:rPr>
        <w:t xml:space="preserve"> </w:t>
      </w:r>
    </w:p>
    <w:p w14:paraId="53B43C69" w14:textId="73BCB4E3" w:rsidR="00506265" w:rsidRDefault="00506265" w:rsidP="005E4EB8">
      <w:pPr>
        <w:ind w:firstLine="720"/>
        <w:rPr>
          <w:rFonts w:ascii="Avenir Book" w:hAnsi="Avenir Book"/>
          <w:sz w:val="22"/>
          <w:szCs w:val="22"/>
        </w:rPr>
      </w:pPr>
      <w:r>
        <w:rPr>
          <w:rFonts w:ascii="Avenir Book" w:hAnsi="Avenir Book"/>
          <w:sz w:val="22"/>
          <w:szCs w:val="22"/>
        </w:rPr>
        <w:t>The d</w:t>
      </w:r>
      <w:r w:rsidRPr="009A4148">
        <w:rPr>
          <w:rFonts w:ascii="Avenir Book" w:hAnsi="Avenir Book"/>
          <w:sz w:val="22"/>
          <w:szCs w:val="22"/>
        </w:rPr>
        <w:t>istinction</w:t>
      </w:r>
      <w:r>
        <w:rPr>
          <w:rFonts w:ascii="Avenir Book" w:hAnsi="Avenir Book"/>
          <w:sz w:val="22"/>
          <w:szCs w:val="22"/>
        </w:rPr>
        <w:t xml:space="preserve"> between religiously and politically motivated</w:t>
      </w:r>
      <w:r w:rsidRPr="009A4148">
        <w:rPr>
          <w:rFonts w:ascii="Avenir Book" w:hAnsi="Avenir Book"/>
          <w:sz w:val="22"/>
          <w:szCs w:val="22"/>
        </w:rPr>
        <w:t xml:space="preserve"> iconoclasms</w:t>
      </w:r>
      <w:r>
        <w:rPr>
          <w:rFonts w:ascii="Avenir Book" w:hAnsi="Avenir Book"/>
          <w:sz w:val="22"/>
          <w:szCs w:val="22"/>
        </w:rPr>
        <w:t xml:space="preserve"> (and, hence, between devotional and historical conservation) reflects, in fact, the modern understanding of religion and politics as two separate spheres of social life, a separation that one should be careful not to project back in the past. T</w:t>
      </w:r>
      <w:r w:rsidRPr="009A4148">
        <w:rPr>
          <w:rFonts w:ascii="Avenir Book" w:hAnsi="Avenir Book"/>
          <w:sz w:val="22"/>
          <w:szCs w:val="22"/>
        </w:rPr>
        <w:t>he official rem</w:t>
      </w:r>
      <w:r>
        <w:rPr>
          <w:rFonts w:ascii="Avenir Book" w:hAnsi="Avenir Book"/>
          <w:sz w:val="22"/>
          <w:szCs w:val="22"/>
        </w:rPr>
        <w:t>oval and spontaneous</w:t>
      </w:r>
      <w:r w:rsidRPr="009A4148">
        <w:rPr>
          <w:rFonts w:ascii="Avenir Book" w:hAnsi="Avenir Book"/>
          <w:sz w:val="22"/>
          <w:szCs w:val="22"/>
        </w:rPr>
        <w:t xml:space="preserve"> demolition of </w:t>
      </w:r>
      <w:r>
        <w:rPr>
          <w:rFonts w:ascii="Avenir Book" w:hAnsi="Avenir Book"/>
          <w:sz w:val="22"/>
          <w:szCs w:val="22"/>
        </w:rPr>
        <w:t>statues and portraits of disgraced Roman emperors und</w:t>
      </w:r>
      <w:r w:rsidRPr="009A4148">
        <w:rPr>
          <w:rFonts w:ascii="Avenir Book" w:hAnsi="Avenir Book"/>
          <w:sz w:val="22"/>
          <w:szCs w:val="22"/>
        </w:rPr>
        <w:t>e</w:t>
      </w:r>
      <w:r>
        <w:rPr>
          <w:rFonts w:ascii="Avenir Book" w:hAnsi="Avenir Book"/>
          <w:sz w:val="22"/>
          <w:szCs w:val="22"/>
        </w:rPr>
        <w:t>rscore</w:t>
      </w:r>
      <w:r w:rsidRPr="009A4148">
        <w:rPr>
          <w:rFonts w:ascii="Avenir Book" w:hAnsi="Avenir Book"/>
          <w:sz w:val="22"/>
          <w:szCs w:val="22"/>
        </w:rPr>
        <w:t xml:space="preserve">d their </w:t>
      </w:r>
      <w:r>
        <w:rPr>
          <w:rFonts w:ascii="Avenir Book" w:hAnsi="Avenir Book"/>
          <w:sz w:val="22"/>
          <w:szCs w:val="22"/>
        </w:rPr>
        <w:t>place in Rome’s civic religion as foci</w:t>
      </w:r>
      <w:r w:rsidRPr="009A4148">
        <w:rPr>
          <w:rFonts w:ascii="Avenir Book" w:hAnsi="Avenir Book"/>
          <w:sz w:val="22"/>
          <w:szCs w:val="22"/>
        </w:rPr>
        <w:t xml:space="preserve"> of </w:t>
      </w:r>
      <w:r>
        <w:rPr>
          <w:rFonts w:ascii="Avenir Book" w:hAnsi="Avenir Book"/>
          <w:sz w:val="22"/>
          <w:szCs w:val="22"/>
        </w:rPr>
        <w:t>public worship</w:t>
      </w:r>
      <w:r w:rsidRPr="009A4148">
        <w:rPr>
          <w:rFonts w:ascii="Avenir Book" w:hAnsi="Avenir Book"/>
          <w:sz w:val="22"/>
          <w:szCs w:val="22"/>
        </w:rPr>
        <w:t xml:space="preserve"> </w:t>
      </w:r>
      <w:r>
        <w:rPr>
          <w:rFonts w:ascii="Avenir Book" w:hAnsi="Avenir Book"/>
          <w:sz w:val="22"/>
          <w:szCs w:val="22"/>
        </w:rPr>
        <w:t xml:space="preserve">and </w:t>
      </w:r>
      <w:r w:rsidRPr="009A4148">
        <w:rPr>
          <w:rFonts w:ascii="Avenir Book" w:hAnsi="Avenir Book"/>
          <w:sz w:val="22"/>
          <w:szCs w:val="22"/>
        </w:rPr>
        <w:t>s</w:t>
      </w:r>
      <w:r>
        <w:rPr>
          <w:rFonts w:ascii="Avenir Book" w:hAnsi="Avenir Book"/>
          <w:sz w:val="22"/>
          <w:szCs w:val="22"/>
        </w:rPr>
        <w:t>tand-in</w:t>
      </w:r>
      <w:r w:rsidRPr="009A4148">
        <w:rPr>
          <w:rFonts w:ascii="Avenir Book" w:hAnsi="Avenir Book"/>
          <w:sz w:val="22"/>
          <w:szCs w:val="22"/>
        </w:rPr>
        <w:t xml:space="preserve">s </w:t>
      </w:r>
      <w:r>
        <w:rPr>
          <w:rFonts w:ascii="Avenir Book" w:hAnsi="Avenir Book"/>
          <w:sz w:val="22"/>
          <w:szCs w:val="22"/>
        </w:rPr>
        <w:t>for the ruler, whom they could even represent in state ceremonies.</w:t>
      </w:r>
      <w:r>
        <w:rPr>
          <w:rStyle w:val="FootnoteReference"/>
          <w:rFonts w:ascii="Avenir Book" w:hAnsi="Avenir Book"/>
          <w:sz w:val="22"/>
          <w:szCs w:val="22"/>
        </w:rPr>
        <w:footnoteReference w:id="22"/>
      </w:r>
      <w:r>
        <w:rPr>
          <w:rFonts w:ascii="Avenir Book" w:hAnsi="Avenir Book"/>
          <w:sz w:val="22"/>
          <w:szCs w:val="22"/>
        </w:rPr>
        <w:t xml:space="preserve"> </w:t>
      </w:r>
      <w:r w:rsidRPr="009A4148">
        <w:rPr>
          <w:rFonts w:ascii="Avenir Book" w:hAnsi="Avenir Book"/>
          <w:sz w:val="22"/>
          <w:szCs w:val="22"/>
        </w:rPr>
        <w:t xml:space="preserve">The </w:t>
      </w:r>
      <w:r>
        <w:rPr>
          <w:rFonts w:ascii="Avenir Book" w:hAnsi="Avenir Book"/>
          <w:sz w:val="22"/>
          <w:szCs w:val="22"/>
        </w:rPr>
        <w:t xml:space="preserve">connection between politics and commemoration, as well as its contrary, social amnesia—of which the erection and upkeep (or </w:t>
      </w:r>
      <w:r w:rsidRPr="00606E16">
        <w:rPr>
          <w:rFonts w:ascii="Avenir Book" w:hAnsi="Avenir Book"/>
          <w:sz w:val="22"/>
          <w:szCs w:val="22"/>
        </w:rPr>
        <w:t>contrariwise</w:t>
      </w:r>
      <w:r>
        <w:rPr>
          <w:rFonts w:ascii="Avenir Book" w:hAnsi="Avenir Book"/>
          <w:sz w:val="22"/>
          <w:szCs w:val="22"/>
        </w:rPr>
        <w:t xml:space="preserve"> demolition) of monuments is a vehicle—is, of course, an old one. This is most obviously the case of restorations that political leaders cla</w:t>
      </w:r>
      <w:r w:rsidR="005E4EB8">
        <w:rPr>
          <w:rFonts w:ascii="Avenir Book" w:hAnsi="Avenir Book"/>
          <w:sz w:val="22"/>
          <w:szCs w:val="22"/>
        </w:rPr>
        <w:t>im as their personal project</w:t>
      </w:r>
      <w:r>
        <w:rPr>
          <w:rFonts w:ascii="Avenir Book" w:hAnsi="Avenir Book"/>
          <w:sz w:val="22"/>
          <w:szCs w:val="22"/>
        </w:rPr>
        <w:t xml:space="preserve">s. </w:t>
      </w:r>
      <w:r w:rsidR="005E4EB8">
        <w:rPr>
          <w:rFonts w:ascii="Avenir Book" w:hAnsi="Avenir Book"/>
          <w:sz w:val="22"/>
          <w:szCs w:val="22"/>
        </w:rPr>
        <w:t>Augustus, i</w:t>
      </w:r>
      <w:r>
        <w:rPr>
          <w:rFonts w:ascii="Avenir Book" w:hAnsi="Avenir Book"/>
          <w:sz w:val="22"/>
          <w:szCs w:val="22"/>
        </w:rPr>
        <w:t>n his autobiography, famously boosted to</w:t>
      </w:r>
      <w:r w:rsidRPr="00CE133D">
        <w:rPr>
          <w:rFonts w:ascii="Avenir Book" w:hAnsi="Avenir Book"/>
          <w:sz w:val="22"/>
          <w:szCs w:val="22"/>
        </w:rPr>
        <w:t xml:space="preserve"> </w:t>
      </w:r>
      <w:r>
        <w:rPr>
          <w:rFonts w:ascii="Avenir Book" w:hAnsi="Avenir Book"/>
          <w:sz w:val="22"/>
          <w:szCs w:val="22"/>
        </w:rPr>
        <w:t>have rebuilt eighty-two temples in Rome, “omitting none which at that time stood in need of repair”—an endeavour in line with his project of restoring</w:t>
      </w:r>
      <w:r w:rsidRPr="00C20F47">
        <w:rPr>
          <w:rFonts w:ascii="Avenir Book" w:hAnsi="Avenir Book"/>
          <w:sz w:val="22"/>
          <w:szCs w:val="22"/>
        </w:rPr>
        <w:t xml:space="preserve"> </w:t>
      </w:r>
      <w:r>
        <w:rPr>
          <w:rFonts w:ascii="Avenir Book" w:hAnsi="Avenir Book"/>
          <w:sz w:val="22"/>
          <w:szCs w:val="22"/>
        </w:rPr>
        <w:t xml:space="preserve">republican Rome’s stern moral values. </w:t>
      </w:r>
      <w:r w:rsidR="005E4EB8">
        <w:rPr>
          <w:rFonts w:ascii="Avenir Book" w:hAnsi="Avenir Book"/>
          <w:sz w:val="22"/>
          <w:szCs w:val="22"/>
        </w:rPr>
        <w:t>This particular illustration of the many historical examples of the overlap of monumental and political restoration support</w:t>
      </w:r>
      <w:r w:rsidR="005E4EB8" w:rsidRPr="00F43042">
        <w:rPr>
          <w:rFonts w:ascii="Avenir Book" w:hAnsi="Avenir Book"/>
          <w:sz w:val="22"/>
          <w:szCs w:val="22"/>
        </w:rPr>
        <w:t>s</w:t>
      </w:r>
      <w:r w:rsidR="005E4EB8">
        <w:rPr>
          <w:rFonts w:ascii="Avenir Book" w:hAnsi="Avenir Book"/>
          <w:sz w:val="22"/>
          <w:szCs w:val="22"/>
        </w:rPr>
        <w:t xml:space="preserve"> understanding of the twin practice of </w:t>
      </w:r>
      <w:r>
        <w:rPr>
          <w:rFonts w:ascii="Avenir Book" w:hAnsi="Avenir Book"/>
          <w:sz w:val="22"/>
          <w:szCs w:val="22"/>
        </w:rPr>
        <w:t>conservation/</w:t>
      </w:r>
      <w:r w:rsidR="005E4EB8">
        <w:rPr>
          <w:rFonts w:ascii="Avenir Book" w:hAnsi="Avenir Book"/>
          <w:sz w:val="22"/>
          <w:szCs w:val="22"/>
        </w:rPr>
        <w:t xml:space="preserve"> </w:t>
      </w:r>
      <w:r>
        <w:rPr>
          <w:rFonts w:ascii="Avenir Book" w:hAnsi="Avenir Book"/>
          <w:sz w:val="22"/>
          <w:szCs w:val="22"/>
        </w:rPr>
        <w:t xml:space="preserve">restoration </w:t>
      </w:r>
      <w:r w:rsidRPr="009A4148">
        <w:rPr>
          <w:rFonts w:ascii="Avenir Book" w:hAnsi="Avenir Book"/>
          <w:sz w:val="22"/>
          <w:szCs w:val="22"/>
        </w:rPr>
        <w:t xml:space="preserve">as </w:t>
      </w:r>
      <w:r>
        <w:rPr>
          <w:rFonts w:ascii="Avenir Book" w:hAnsi="Avenir Book"/>
          <w:sz w:val="22"/>
          <w:szCs w:val="22"/>
        </w:rPr>
        <w:t xml:space="preserve">praxis in the Marxian sense, that is to say, </w:t>
      </w:r>
      <w:r w:rsidRPr="009A4148">
        <w:rPr>
          <w:rFonts w:ascii="Avenir Book" w:hAnsi="Avenir Book"/>
          <w:sz w:val="22"/>
          <w:szCs w:val="22"/>
        </w:rPr>
        <w:t>a ma</w:t>
      </w:r>
      <w:r w:rsidR="005E4EB8">
        <w:rPr>
          <w:rFonts w:ascii="Avenir Book" w:hAnsi="Avenir Book"/>
          <w:sz w:val="22"/>
          <w:szCs w:val="22"/>
        </w:rPr>
        <w:t>terial articulation of ideology</w:t>
      </w:r>
      <w:r w:rsidRPr="009A4148">
        <w:rPr>
          <w:rFonts w:ascii="Avenir Book" w:hAnsi="Avenir Book"/>
          <w:sz w:val="22"/>
          <w:szCs w:val="22"/>
        </w:rPr>
        <w:t>.</w:t>
      </w:r>
      <w:r w:rsidRPr="009A4148">
        <w:rPr>
          <w:rStyle w:val="FootnoteReference"/>
          <w:rFonts w:ascii="Avenir Book" w:hAnsi="Avenir Book"/>
          <w:sz w:val="22"/>
          <w:szCs w:val="22"/>
        </w:rPr>
        <w:footnoteReference w:id="23"/>
      </w:r>
      <w:r w:rsidRPr="009A4148">
        <w:rPr>
          <w:rFonts w:ascii="Avenir Book" w:hAnsi="Avenir Book"/>
          <w:sz w:val="22"/>
          <w:szCs w:val="22"/>
        </w:rPr>
        <w:t xml:space="preserve"> </w:t>
      </w:r>
    </w:p>
    <w:p w14:paraId="447E5A7E" w14:textId="6C14EA38" w:rsidR="00506265" w:rsidRDefault="00506265" w:rsidP="00506265">
      <w:pPr>
        <w:ind w:firstLine="720"/>
        <w:rPr>
          <w:rFonts w:ascii="Avenir Book" w:hAnsi="Avenir Book"/>
          <w:sz w:val="22"/>
          <w:szCs w:val="22"/>
        </w:rPr>
      </w:pPr>
      <w:r>
        <w:rPr>
          <w:rFonts w:ascii="Avenir Book" w:hAnsi="Avenir Book"/>
          <w:sz w:val="22"/>
          <w:szCs w:val="22"/>
        </w:rPr>
        <w:t>Drawing on Ramb</w:t>
      </w:r>
      <w:r w:rsidR="00903644">
        <w:rPr>
          <w:rFonts w:ascii="Avenir Book" w:hAnsi="Avenir Book"/>
          <w:sz w:val="22"/>
          <w:szCs w:val="22"/>
        </w:rPr>
        <w:t>elli’s and Reinders’ semiotic approach to</w:t>
      </w:r>
      <w:r>
        <w:rPr>
          <w:rFonts w:ascii="Avenir Book" w:hAnsi="Avenir Book"/>
          <w:sz w:val="22"/>
          <w:szCs w:val="22"/>
        </w:rPr>
        <w:t xml:space="preserve"> iconoclasm, one can similarly argue that conservation/restoration is “a cultural practice that changes the materiality or the meaning of the object involved, or both. . . . Operating on the materiality—on the body—of a sacred object affects and modifies its symbolic status—its meanings and functions in its cultural contexts.”</w:t>
      </w:r>
      <w:r>
        <w:rPr>
          <w:rStyle w:val="FootnoteReference"/>
          <w:rFonts w:ascii="Avenir Book" w:hAnsi="Avenir Book"/>
          <w:sz w:val="22"/>
          <w:szCs w:val="22"/>
        </w:rPr>
        <w:footnoteReference w:id="24"/>
      </w:r>
      <w:r>
        <w:rPr>
          <w:rFonts w:ascii="Avenir Book" w:hAnsi="Avenir Book"/>
          <w:sz w:val="22"/>
          <w:szCs w:val="22"/>
        </w:rPr>
        <w:t xml:space="preserve"> A semiotic reading</w:t>
      </w:r>
      <w:r w:rsidR="00903644">
        <w:rPr>
          <w:rFonts w:ascii="Avenir Book" w:hAnsi="Avenir Book"/>
          <w:sz w:val="22"/>
          <w:szCs w:val="22"/>
        </w:rPr>
        <w:t xml:space="preserve"> of conservation as a sign carrying </w:t>
      </w:r>
      <w:r w:rsidRPr="009A4148">
        <w:rPr>
          <w:rFonts w:ascii="Avenir Book" w:hAnsi="Avenir Book"/>
          <w:sz w:val="22"/>
          <w:szCs w:val="22"/>
        </w:rPr>
        <w:t xml:space="preserve">autonomous signifying value from that of </w:t>
      </w:r>
      <w:r>
        <w:rPr>
          <w:rFonts w:ascii="Avenir Book" w:hAnsi="Avenir Book"/>
          <w:sz w:val="22"/>
          <w:szCs w:val="22"/>
        </w:rPr>
        <w:t>the object</w:t>
      </w:r>
      <w:r w:rsidR="00903644">
        <w:rPr>
          <w:rFonts w:ascii="Avenir Book" w:hAnsi="Avenir Book"/>
          <w:sz w:val="22"/>
          <w:szCs w:val="22"/>
        </w:rPr>
        <w:t xml:space="preserve"> on which it intervenes is </w:t>
      </w:r>
      <w:r>
        <w:rPr>
          <w:rFonts w:ascii="Avenir Book" w:hAnsi="Avenir Book"/>
          <w:sz w:val="22"/>
          <w:szCs w:val="22"/>
        </w:rPr>
        <w:t>suggested by t</w:t>
      </w:r>
      <w:r w:rsidRPr="009A4148">
        <w:rPr>
          <w:rFonts w:ascii="Avenir Book" w:hAnsi="Avenir Book"/>
          <w:sz w:val="22"/>
          <w:szCs w:val="22"/>
        </w:rPr>
        <w:t xml:space="preserve">he </w:t>
      </w:r>
      <w:r>
        <w:rPr>
          <w:rFonts w:ascii="Avenir Book" w:hAnsi="Avenir Book"/>
          <w:sz w:val="22"/>
          <w:szCs w:val="22"/>
        </w:rPr>
        <w:t xml:space="preserve">ancient practice of applying oils or </w:t>
      </w:r>
      <w:r w:rsidRPr="009A4148">
        <w:rPr>
          <w:rFonts w:ascii="Avenir Book" w:hAnsi="Avenir Book"/>
          <w:sz w:val="22"/>
          <w:szCs w:val="22"/>
        </w:rPr>
        <w:t>paint</w:t>
      </w:r>
      <w:r>
        <w:rPr>
          <w:rFonts w:ascii="Avenir Book" w:hAnsi="Avenir Book"/>
          <w:sz w:val="22"/>
          <w:szCs w:val="22"/>
        </w:rPr>
        <w:t xml:space="preserve"> </w:t>
      </w:r>
      <w:r w:rsidRPr="009A4148">
        <w:rPr>
          <w:rFonts w:ascii="Avenir Book" w:hAnsi="Avenir Book"/>
          <w:sz w:val="22"/>
          <w:szCs w:val="22"/>
        </w:rPr>
        <w:t>on</w:t>
      </w:r>
      <w:r>
        <w:rPr>
          <w:rFonts w:ascii="Avenir Book" w:hAnsi="Avenir Book"/>
          <w:sz w:val="22"/>
          <w:szCs w:val="22"/>
        </w:rPr>
        <w:t xml:space="preserve">to bronze objects for </w:t>
      </w:r>
      <w:r w:rsidRPr="009A4148">
        <w:rPr>
          <w:rFonts w:ascii="Avenir Book" w:hAnsi="Avenir Book"/>
          <w:sz w:val="22"/>
          <w:szCs w:val="22"/>
        </w:rPr>
        <w:t>prot</w:t>
      </w:r>
      <w:r>
        <w:rPr>
          <w:rFonts w:ascii="Avenir Book" w:hAnsi="Avenir Book"/>
          <w:sz w:val="22"/>
          <w:szCs w:val="22"/>
        </w:rPr>
        <w:t>ection and beautification, which produced an</w:t>
      </w:r>
      <w:r w:rsidRPr="009A4148">
        <w:rPr>
          <w:rFonts w:ascii="Avenir Book" w:hAnsi="Avenir Book"/>
          <w:sz w:val="22"/>
          <w:szCs w:val="22"/>
        </w:rPr>
        <w:t xml:space="preserve"> appealing artificial patina (</w:t>
      </w:r>
      <w:r>
        <w:rPr>
          <w:rFonts w:ascii="Avenir Book" w:hAnsi="Avenir Book"/>
          <w:sz w:val="22"/>
          <w:szCs w:val="22"/>
        </w:rPr>
        <w:t xml:space="preserve">termed by the Roman writer, Pliny the Elder, </w:t>
      </w:r>
      <w:r w:rsidRPr="009A4148">
        <w:rPr>
          <w:rFonts w:ascii="Avenir Book" w:hAnsi="Avenir Book"/>
          <w:i/>
          <w:sz w:val="22"/>
          <w:szCs w:val="22"/>
        </w:rPr>
        <w:t>patina nobilis</w:t>
      </w:r>
      <w:r w:rsidRPr="009A4148">
        <w:rPr>
          <w:rFonts w:ascii="Avenir Book" w:hAnsi="Avenir Book"/>
          <w:sz w:val="22"/>
          <w:szCs w:val="22"/>
        </w:rPr>
        <w:t>)</w:t>
      </w:r>
      <w:r>
        <w:rPr>
          <w:rFonts w:ascii="Avenir Book" w:hAnsi="Avenir Book"/>
          <w:sz w:val="22"/>
          <w:szCs w:val="22"/>
        </w:rPr>
        <w:t xml:space="preserve"> perceptually different</w:t>
      </w:r>
      <w:r w:rsidRPr="009A4148">
        <w:rPr>
          <w:rFonts w:ascii="Avenir Book" w:hAnsi="Avenir Book"/>
          <w:sz w:val="22"/>
          <w:szCs w:val="22"/>
        </w:rPr>
        <w:t xml:space="preserve"> from the tarnishing</w:t>
      </w:r>
      <w:r>
        <w:rPr>
          <w:rFonts w:ascii="Avenir Book" w:hAnsi="Avenir Book"/>
          <w:sz w:val="22"/>
          <w:szCs w:val="22"/>
        </w:rPr>
        <w:t xml:space="preserve"> </w:t>
      </w:r>
      <w:r w:rsidRPr="003C07F1">
        <w:rPr>
          <w:rFonts w:ascii="Avenir Book" w:hAnsi="Avenir Book"/>
          <w:sz w:val="22"/>
          <w:szCs w:val="22"/>
        </w:rPr>
        <w:t>grime</w:t>
      </w:r>
      <w:r>
        <w:rPr>
          <w:rFonts w:ascii="Avenir Book" w:hAnsi="Avenir Book"/>
          <w:sz w:val="22"/>
          <w:szCs w:val="22"/>
        </w:rPr>
        <w:t xml:space="preserve"> </w:t>
      </w:r>
      <w:r w:rsidRPr="009A4148">
        <w:rPr>
          <w:rFonts w:ascii="Avenir Book" w:hAnsi="Avenir Book"/>
          <w:sz w:val="22"/>
          <w:szCs w:val="22"/>
        </w:rPr>
        <w:t>accumulated over time (</w:t>
      </w:r>
      <w:r w:rsidRPr="009A4148">
        <w:rPr>
          <w:rFonts w:ascii="Avenir Book" w:hAnsi="Avenir Book"/>
          <w:i/>
          <w:sz w:val="22"/>
          <w:szCs w:val="22"/>
        </w:rPr>
        <w:t>patina virus</w:t>
      </w:r>
      <w:r w:rsidRPr="009A4148">
        <w:rPr>
          <w:rFonts w:ascii="Avenir Book" w:hAnsi="Avenir Book"/>
          <w:sz w:val="22"/>
          <w:szCs w:val="22"/>
        </w:rPr>
        <w:t>)</w:t>
      </w:r>
      <w:r>
        <w:rPr>
          <w:rFonts w:ascii="Avenir Book" w:hAnsi="Avenir Book"/>
          <w:sz w:val="22"/>
          <w:szCs w:val="22"/>
        </w:rPr>
        <w:t xml:space="preserve">. This semiotic approach would arguably be most productive in examining the making of copies as a means of </w:t>
      </w:r>
      <w:r w:rsidR="00903644">
        <w:rPr>
          <w:rFonts w:ascii="Avenir Book" w:hAnsi="Avenir Book"/>
          <w:sz w:val="22"/>
          <w:szCs w:val="22"/>
        </w:rPr>
        <w:t xml:space="preserve">both </w:t>
      </w:r>
      <w:r>
        <w:rPr>
          <w:rFonts w:ascii="Avenir Book" w:hAnsi="Avenir Book"/>
          <w:sz w:val="22"/>
          <w:szCs w:val="22"/>
        </w:rPr>
        <w:t xml:space="preserve">preserving </w:t>
      </w:r>
      <w:r w:rsidR="00903644">
        <w:rPr>
          <w:rFonts w:ascii="Avenir Book" w:hAnsi="Avenir Book"/>
          <w:sz w:val="22"/>
          <w:szCs w:val="22"/>
        </w:rPr>
        <w:t xml:space="preserve">the </w:t>
      </w:r>
      <w:r>
        <w:rPr>
          <w:rFonts w:ascii="Avenir Book" w:hAnsi="Avenir Book"/>
          <w:sz w:val="22"/>
          <w:szCs w:val="22"/>
        </w:rPr>
        <w:t>original</w:t>
      </w:r>
      <w:r w:rsidR="00903644">
        <w:rPr>
          <w:rFonts w:ascii="Avenir Book" w:hAnsi="Avenir Book"/>
          <w:sz w:val="22"/>
          <w:szCs w:val="22"/>
        </w:rPr>
        <w:t xml:space="preserve"> artefact</w:t>
      </w:r>
      <w:r>
        <w:rPr>
          <w:rFonts w:ascii="Avenir Book" w:hAnsi="Avenir Book"/>
          <w:sz w:val="22"/>
          <w:szCs w:val="22"/>
        </w:rPr>
        <w:t>s</w:t>
      </w:r>
      <w:r w:rsidR="00903644">
        <w:rPr>
          <w:rFonts w:ascii="Avenir Book" w:hAnsi="Avenir Book"/>
          <w:sz w:val="22"/>
          <w:szCs w:val="22"/>
        </w:rPr>
        <w:t xml:space="preserve"> from physical degradation and reproduc</w:t>
      </w:r>
      <w:r>
        <w:rPr>
          <w:rFonts w:ascii="Avenir Book" w:hAnsi="Avenir Book"/>
          <w:sz w:val="22"/>
          <w:szCs w:val="22"/>
        </w:rPr>
        <w:t xml:space="preserve">ing their symbolic and magical powers (along with their availability in the market for relics, which was thriving in ancient times). Because of the synchronic and universalistic principles of structural linguistics that inform semiotics, a semiotic theory of conservation is however at risk of overlooking historical and cultural specificities, and also, no less importantly, the diverse environmental conditions affecting the lifespan of artefacts (wooden and sandstone edifices decay faster than structures of stone or marble, more so in tropical climates; metal oxidation is likewise variously affected by climate).  </w:t>
      </w:r>
    </w:p>
    <w:p w14:paraId="4C28CBCE" w14:textId="7395B76D" w:rsidR="00502941" w:rsidRDefault="00506265" w:rsidP="00502941">
      <w:pPr>
        <w:ind w:firstLine="720"/>
        <w:rPr>
          <w:rFonts w:ascii="Avenir Book" w:hAnsi="Avenir Book"/>
          <w:sz w:val="22"/>
          <w:szCs w:val="22"/>
        </w:rPr>
      </w:pPr>
      <w:r>
        <w:rPr>
          <w:rFonts w:ascii="Avenir Book" w:hAnsi="Avenir Book"/>
          <w:sz w:val="22"/>
          <w:szCs w:val="22"/>
        </w:rPr>
        <w:t xml:space="preserve">Being motivated by the maintenance of the cosmic order in which both humans and gods dwell, premodern caring for cultural artefacts might appear far remote from the </w:t>
      </w:r>
      <w:r w:rsidRPr="00843C89">
        <w:rPr>
          <w:rFonts w:ascii="Avenir Book" w:hAnsi="Avenir Book"/>
          <w:sz w:val="22"/>
          <w:szCs w:val="22"/>
        </w:rPr>
        <w:t>impassable</w:t>
      </w:r>
      <w:r>
        <w:rPr>
          <w:rFonts w:ascii="Avenir Book" w:hAnsi="Avenir Book"/>
          <w:sz w:val="22"/>
          <w:szCs w:val="22"/>
        </w:rPr>
        <w:t xml:space="preserve"> </w:t>
      </w:r>
      <w:r w:rsidRPr="00843C89">
        <w:rPr>
          <w:rFonts w:ascii="Avenir Book" w:hAnsi="Avenir Book"/>
          <w:sz w:val="22"/>
          <w:szCs w:val="22"/>
        </w:rPr>
        <w:t>quandary</w:t>
      </w:r>
      <w:r>
        <w:rPr>
          <w:rFonts w:ascii="Avenir Book" w:hAnsi="Avenir Book"/>
          <w:sz w:val="22"/>
          <w:szCs w:val="22"/>
        </w:rPr>
        <w:t xml:space="preserve"> between nationalist cult and commercial exploitation in which museums and historic monuments are presently caught up</w:t>
      </w:r>
      <w:r w:rsidRPr="00353D0D">
        <w:rPr>
          <w:rFonts w:ascii="Avenir Book" w:hAnsi="Avenir Book"/>
          <w:sz w:val="22"/>
          <w:szCs w:val="22"/>
        </w:rPr>
        <w:t xml:space="preserve"> </w:t>
      </w:r>
      <w:r>
        <w:rPr>
          <w:rFonts w:ascii="Avenir Book" w:hAnsi="Avenir Book"/>
          <w:sz w:val="22"/>
          <w:szCs w:val="22"/>
        </w:rPr>
        <w:t>according to critics of the “heritage industry.”</w:t>
      </w:r>
      <w:r>
        <w:rPr>
          <w:rStyle w:val="FootnoteReference"/>
          <w:rFonts w:ascii="Avenir Book" w:hAnsi="Avenir Book"/>
          <w:sz w:val="22"/>
          <w:szCs w:val="22"/>
        </w:rPr>
        <w:footnoteReference w:id="25"/>
      </w:r>
      <w:r>
        <w:rPr>
          <w:rFonts w:ascii="Avenir Book" w:hAnsi="Avenir Book"/>
          <w:sz w:val="22"/>
          <w:szCs w:val="22"/>
        </w:rPr>
        <w:t xml:space="preserve"> Yet Carol Duncan has persuasively likened the contemporary experience of museum going to a ritual—the ritual of citizenship – taking place, like religious cult, in a “space carefully marked off and culturally designated as reserved for a special kind of attention.” As Duncan argues, it is not just the dominant neoclassical style of nineteenth-century museum buildings that marks off their space culturally, but the behaviour visitors are expected to display therein (bodily decorum, contemplation, even awe) that make museums “sites which enable individuals to achieve liminal experience—to move beyond the psychic constrains of mundane existence, </w:t>
      </w:r>
      <w:r w:rsidRPr="004A11C5">
        <w:rPr>
          <w:rFonts w:ascii="Avenir Book" w:hAnsi="Avenir Book"/>
          <w:i/>
          <w:sz w:val="22"/>
          <w:szCs w:val="22"/>
        </w:rPr>
        <w:t>step out of time</w:t>
      </w:r>
      <w:r>
        <w:rPr>
          <w:rFonts w:ascii="Avenir Book" w:hAnsi="Avenir Book"/>
          <w:sz w:val="22"/>
          <w:szCs w:val="22"/>
        </w:rPr>
        <w:t>, and attain new, larger perspectives.”</w:t>
      </w:r>
      <w:r>
        <w:rPr>
          <w:rStyle w:val="FootnoteReference"/>
          <w:rFonts w:ascii="Avenir Book" w:hAnsi="Avenir Book"/>
          <w:sz w:val="22"/>
          <w:szCs w:val="22"/>
        </w:rPr>
        <w:footnoteReference w:id="26"/>
      </w:r>
      <w:r>
        <w:rPr>
          <w:rFonts w:ascii="Avenir Book" w:hAnsi="Avenir Book"/>
          <w:sz w:val="22"/>
          <w:szCs w:val="22"/>
        </w:rPr>
        <w:t xml:space="preserve"> Such considerations resonate strongly with Jas</w:t>
      </w:r>
      <w:r w:rsidR="002573B3">
        <w:rPr>
          <w:rFonts w:ascii="Avenir Book" w:hAnsi="Avenir Book"/>
          <w:sz w:val="22"/>
          <w:szCs w:val="22"/>
        </w:rPr>
        <w:t xml:space="preserve"> Elsner’s description of the </w:t>
      </w:r>
      <w:r>
        <w:rPr>
          <w:rFonts w:ascii="Avenir Book" w:hAnsi="Avenir Book"/>
          <w:sz w:val="22"/>
          <w:szCs w:val="22"/>
        </w:rPr>
        <w:t>an</w:t>
      </w:r>
      <w:r w:rsidR="002573B3">
        <w:rPr>
          <w:rFonts w:ascii="Avenir Book" w:hAnsi="Avenir Book"/>
          <w:sz w:val="22"/>
          <w:szCs w:val="22"/>
        </w:rPr>
        <w:t>cient</w:t>
      </w:r>
      <w:r>
        <w:rPr>
          <w:rFonts w:ascii="Avenir Book" w:hAnsi="Avenir Book"/>
          <w:sz w:val="22"/>
          <w:szCs w:val="22"/>
        </w:rPr>
        <w:t xml:space="preserve"> Roman context of “ritual-centred viewing” as “a special space set apart from ordinary life … [a] liminal space [where] the viewer enters the god’s world and likewise the deity intrudes directly into the viewer’s world.”</w:t>
      </w:r>
      <w:r>
        <w:rPr>
          <w:rStyle w:val="FootnoteReference"/>
          <w:rFonts w:ascii="Avenir Book" w:hAnsi="Avenir Book"/>
          <w:sz w:val="22"/>
          <w:szCs w:val="22"/>
        </w:rPr>
        <w:footnoteReference w:id="27"/>
      </w:r>
      <w:r>
        <w:rPr>
          <w:rFonts w:ascii="Avenir Book" w:hAnsi="Avenir Book"/>
          <w:sz w:val="22"/>
          <w:szCs w:val="22"/>
        </w:rPr>
        <w:t xml:space="preserve"> </w:t>
      </w:r>
      <w:r w:rsidR="00502941">
        <w:rPr>
          <w:rFonts w:ascii="Avenir Book" w:hAnsi="Avenir Book"/>
          <w:sz w:val="22"/>
          <w:szCs w:val="22"/>
        </w:rPr>
        <w:t xml:space="preserve">The study of conservation/restoration as cultural practice spanning </w:t>
      </w:r>
      <w:r w:rsidR="002573B3">
        <w:rPr>
          <w:rFonts w:ascii="Avenir Book" w:hAnsi="Avenir Book"/>
          <w:sz w:val="22"/>
          <w:szCs w:val="22"/>
        </w:rPr>
        <w:t>many diverse epochs and culture</w:t>
      </w:r>
      <w:r w:rsidR="00A14556">
        <w:rPr>
          <w:rFonts w:ascii="Avenir Book" w:hAnsi="Avenir Book"/>
          <w:sz w:val="22"/>
          <w:szCs w:val="22"/>
        </w:rPr>
        <w:t>s</w:t>
      </w:r>
      <w:r w:rsidR="00502941">
        <w:rPr>
          <w:rFonts w:ascii="Avenir Book" w:hAnsi="Avenir Book"/>
          <w:sz w:val="22"/>
          <w:szCs w:val="22"/>
        </w:rPr>
        <w:t xml:space="preserve"> can indeed take its clue from</w:t>
      </w:r>
      <w:r w:rsidR="00F11DD5">
        <w:rPr>
          <w:rFonts w:ascii="Avenir Book" w:hAnsi="Avenir Book"/>
          <w:sz w:val="22"/>
          <w:szCs w:val="22"/>
        </w:rPr>
        <w:t xml:space="preserve"> the study of visuality understood </w:t>
      </w:r>
      <w:r w:rsidR="00502941">
        <w:rPr>
          <w:rFonts w:ascii="Avenir Book" w:hAnsi="Avenir Book"/>
          <w:sz w:val="22"/>
          <w:szCs w:val="22"/>
        </w:rPr>
        <w:t>as the socially constructed and historically situated practice of viewing.</w:t>
      </w:r>
      <w:r w:rsidR="00502941">
        <w:rPr>
          <w:rStyle w:val="FootnoteReference"/>
          <w:rFonts w:ascii="Avenir Book" w:hAnsi="Avenir Book"/>
          <w:sz w:val="22"/>
          <w:szCs w:val="22"/>
        </w:rPr>
        <w:footnoteReference w:id="28"/>
      </w:r>
      <w:r w:rsidR="00502941">
        <w:rPr>
          <w:rFonts w:ascii="Avenir Book" w:hAnsi="Avenir Book"/>
          <w:sz w:val="22"/>
          <w:szCs w:val="22"/>
        </w:rPr>
        <w:t xml:space="preserve"> </w:t>
      </w:r>
    </w:p>
    <w:p w14:paraId="3216B13F" w14:textId="18F20738" w:rsidR="00D61A91" w:rsidRDefault="002573B3" w:rsidP="009A3E26">
      <w:pPr>
        <w:ind w:firstLine="720"/>
        <w:rPr>
          <w:rFonts w:ascii="Avenir Book" w:hAnsi="Avenir Book"/>
          <w:sz w:val="22"/>
          <w:szCs w:val="22"/>
        </w:rPr>
      </w:pPr>
      <w:r>
        <w:rPr>
          <w:rFonts w:ascii="Avenir Book" w:hAnsi="Avenir Book"/>
          <w:sz w:val="22"/>
          <w:szCs w:val="22"/>
        </w:rPr>
        <w:t xml:space="preserve">For the purpose of today’s discussion </w:t>
      </w:r>
      <w:r w:rsidR="009E1423">
        <w:rPr>
          <w:rFonts w:ascii="Avenir Book" w:hAnsi="Avenir Book"/>
          <w:sz w:val="22"/>
          <w:szCs w:val="22"/>
        </w:rPr>
        <w:t>I p</w:t>
      </w:r>
      <w:r w:rsidR="00DC2FBA">
        <w:rPr>
          <w:rFonts w:ascii="Avenir Book" w:hAnsi="Avenir Book"/>
          <w:sz w:val="22"/>
          <w:szCs w:val="22"/>
        </w:rPr>
        <w:t>ropose to</w:t>
      </w:r>
      <w:r w:rsidR="00042FD1">
        <w:rPr>
          <w:rFonts w:ascii="Avenir Book" w:hAnsi="Avenir Book"/>
          <w:sz w:val="22"/>
          <w:szCs w:val="22"/>
        </w:rPr>
        <w:t xml:space="preserve"> </w:t>
      </w:r>
      <w:r>
        <w:rPr>
          <w:rFonts w:ascii="Avenir Book" w:hAnsi="Avenir Book"/>
          <w:sz w:val="22"/>
          <w:szCs w:val="22"/>
        </w:rPr>
        <w:t>focus on</w:t>
      </w:r>
      <w:r w:rsidR="00E57791">
        <w:rPr>
          <w:rFonts w:ascii="Avenir Book" w:hAnsi="Avenir Book"/>
          <w:sz w:val="22"/>
          <w:szCs w:val="22"/>
        </w:rPr>
        <w:t xml:space="preserve"> two</w:t>
      </w:r>
      <w:r w:rsidR="009E1423">
        <w:rPr>
          <w:rFonts w:ascii="Avenir Book" w:hAnsi="Avenir Book"/>
          <w:sz w:val="22"/>
          <w:szCs w:val="22"/>
        </w:rPr>
        <w:t xml:space="preserve"> questions</w:t>
      </w:r>
      <w:r w:rsidR="00E57791" w:rsidRPr="00E57791">
        <w:rPr>
          <w:rFonts w:ascii="Avenir Book" w:hAnsi="Avenir Book"/>
          <w:sz w:val="22"/>
          <w:szCs w:val="22"/>
        </w:rPr>
        <w:t xml:space="preserve"> </w:t>
      </w:r>
      <w:r w:rsidR="00D364D0">
        <w:rPr>
          <w:rFonts w:ascii="Avenir Book" w:hAnsi="Avenir Book"/>
          <w:sz w:val="22"/>
          <w:szCs w:val="22"/>
        </w:rPr>
        <w:t>arising from this overview</w:t>
      </w:r>
      <w:r w:rsidR="00DC2FBA">
        <w:rPr>
          <w:rFonts w:ascii="Avenir Book" w:hAnsi="Avenir Book"/>
          <w:sz w:val="22"/>
          <w:szCs w:val="22"/>
        </w:rPr>
        <w:t xml:space="preserve"> of my research project</w:t>
      </w:r>
      <w:r w:rsidR="00D364D0">
        <w:rPr>
          <w:rFonts w:ascii="Avenir Book" w:hAnsi="Avenir Book"/>
          <w:sz w:val="22"/>
          <w:szCs w:val="22"/>
        </w:rPr>
        <w:t xml:space="preserve">. The first concerns </w:t>
      </w:r>
      <w:r w:rsidR="00DC2FBA">
        <w:rPr>
          <w:rFonts w:ascii="Avenir Book" w:hAnsi="Avenir Book"/>
          <w:sz w:val="22"/>
          <w:szCs w:val="22"/>
        </w:rPr>
        <w:t>the</w:t>
      </w:r>
      <w:r w:rsidR="00042FD1">
        <w:rPr>
          <w:rFonts w:ascii="Avenir Book" w:hAnsi="Avenir Book"/>
          <w:sz w:val="22"/>
          <w:szCs w:val="22"/>
        </w:rPr>
        <w:t xml:space="preserve"> qualification of my</w:t>
      </w:r>
      <w:r w:rsidR="00D364D0">
        <w:rPr>
          <w:rFonts w:ascii="Avenir Book" w:hAnsi="Avenir Book"/>
          <w:sz w:val="22"/>
          <w:szCs w:val="22"/>
        </w:rPr>
        <w:t xml:space="preserve"> concept </w:t>
      </w:r>
      <w:r w:rsidR="009C15D4">
        <w:rPr>
          <w:rFonts w:ascii="Avenir Book" w:hAnsi="Avenir Book"/>
          <w:sz w:val="22"/>
          <w:szCs w:val="22"/>
        </w:rPr>
        <w:t>of devotional conservation</w:t>
      </w:r>
      <w:r w:rsidR="00D364D0">
        <w:rPr>
          <w:rFonts w:ascii="Avenir Book" w:hAnsi="Avenir Book"/>
          <w:sz w:val="22"/>
          <w:szCs w:val="22"/>
        </w:rPr>
        <w:t xml:space="preserve"> owing to </w:t>
      </w:r>
      <w:r w:rsidR="00706745">
        <w:rPr>
          <w:rFonts w:ascii="Avenir Book" w:hAnsi="Avenir Book"/>
          <w:sz w:val="22"/>
          <w:szCs w:val="22"/>
        </w:rPr>
        <w:t>th</w:t>
      </w:r>
      <w:r w:rsidR="007F3405">
        <w:rPr>
          <w:rFonts w:ascii="Avenir Book" w:hAnsi="Avenir Book"/>
          <w:sz w:val="22"/>
          <w:szCs w:val="22"/>
        </w:rPr>
        <w:t xml:space="preserve">e </w:t>
      </w:r>
      <w:r w:rsidR="00D364D0">
        <w:rPr>
          <w:rFonts w:ascii="Avenir Book" w:hAnsi="Avenir Book"/>
          <w:sz w:val="22"/>
          <w:szCs w:val="22"/>
        </w:rPr>
        <w:t xml:space="preserve">specific </w:t>
      </w:r>
      <w:r w:rsidR="009A3E26">
        <w:rPr>
          <w:rFonts w:ascii="Avenir Book" w:hAnsi="Avenir Book"/>
          <w:sz w:val="22"/>
          <w:szCs w:val="22"/>
        </w:rPr>
        <w:t xml:space="preserve">material </w:t>
      </w:r>
      <w:r w:rsidR="00042FD1">
        <w:rPr>
          <w:rFonts w:ascii="Avenir Book" w:hAnsi="Avenir Book"/>
          <w:sz w:val="22"/>
          <w:szCs w:val="22"/>
        </w:rPr>
        <w:t xml:space="preserve">dimension </w:t>
      </w:r>
      <w:r w:rsidR="00D364D0">
        <w:rPr>
          <w:rFonts w:ascii="Avenir Book" w:hAnsi="Avenir Book"/>
          <w:sz w:val="22"/>
          <w:szCs w:val="22"/>
        </w:rPr>
        <w:t xml:space="preserve">of </w:t>
      </w:r>
      <w:r w:rsidR="00042FD1">
        <w:rPr>
          <w:rFonts w:ascii="Avenir Book" w:hAnsi="Avenir Book"/>
          <w:sz w:val="22"/>
          <w:szCs w:val="22"/>
        </w:rPr>
        <w:t>the religious cultures encompassed in this study as well as historical evidence concerning the mainten</w:t>
      </w:r>
      <w:r w:rsidR="00DC2FBA">
        <w:rPr>
          <w:rFonts w:ascii="Avenir Book" w:hAnsi="Avenir Book"/>
          <w:sz w:val="22"/>
          <w:szCs w:val="22"/>
        </w:rPr>
        <w:t>ance, not immediately motivated by devotion, of civic edifices and</w:t>
      </w:r>
      <w:r w:rsidR="00042FD1">
        <w:rPr>
          <w:rFonts w:ascii="Avenir Book" w:hAnsi="Avenir Book"/>
          <w:sz w:val="22"/>
          <w:szCs w:val="22"/>
        </w:rPr>
        <w:t xml:space="preserve"> infrastructures (</w:t>
      </w:r>
      <w:r w:rsidR="00042FD1" w:rsidRPr="009A4148">
        <w:rPr>
          <w:rFonts w:ascii="Avenir Book" w:hAnsi="Avenir Book"/>
          <w:sz w:val="22"/>
          <w:szCs w:val="22"/>
        </w:rPr>
        <w:t xml:space="preserve">entrusted </w:t>
      </w:r>
      <w:r w:rsidR="00042FD1">
        <w:rPr>
          <w:rFonts w:ascii="Avenir Book" w:hAnsi="Avenir Book"/>
          <w:sz w:val="22"/>
          <w:szCs w:val="22"/>
        </w:rPr>
        <w:t xml:space="preserve">in the Greek city-states </w:t>
      </w:r>
      <w:r w:rsidR="00042FD1" w:rsidRPr="009A4148">
        <w:rPr>
          <w:rFonts w:ascii="Avenir Book" w:hAnsi="Avenir Book"/>
          <w:sz w:val="22"/>
          <w:szCs w:val="22"/>
        </w:rPr>
        <w:t xml:space="preserve">to magistrates called </w:t>
      </w:r>
      <w:r w:rsidR="00042FD1" w:rsidRPr="009A4148">
        <w:rPr>
          <w:rFonts w:ascii="Avenir Book" w:hAnsi="Avenir Book"/>
          <w:i/>
          <w:sz w:val="22"/>
          <w:szCs w:val="22"/>
        </w:rPr>
        <w:t>astynomoi</w:t>
      </w:r>
      <w:r w:rsidR="00042FD1" w:rsidRPr="009A4148">
        <w:rPr>
          <w:rFonts w:ascii="Avenir Book" w:hAnsi="Avenir Book"/>
          <w:sz w:val="22"/>
          <w:szCs w:val="22"/>
        </w:rPr>
        <w:t xml:space="preserve"> and in Rome to </w:t>
      </w:r>
      <w:r w:rsidR="00042FD1">
        <w:rPr>
          <w:rFonts w:ascii="Avenir Book" w:hAnsi="Avenir Book"/>
          <w:sz w:val="22"/>
          <w:szCs w:val="22"/>
        </w:rPr>
        <w:t xml:space="preserve">the </w:t>
      </w:r>
      <w:r w:rsidR="00042FD1" w:rsidRPr="009A4148">
        <w:rPr>
          <w:rFonts w:ascii="Avenir Book" w:hAnsi="Avenir Book"/>
          <w:i/>
          <w:sz w:val="22"/>
          <w:szCs w:val="22"/>
        </w:rPr>
        <w:t>aediles</w:t>
      </w:r>
      <w:r w:rsidR="00042FD1">
        <w:rPr>
          <w:rFonts w:ascii="Avenir Book" w:hAnsi="Avenir Book"/>
          <w:sz w:val="22"/>
          <w:szCs w:val="22"/>
        </w:rPr>
        <w:t xml:space="preserve">, whose duties </w:t>
      </w:r>
      <w:r w:rsidR="00042FD1" w:rsidRPr="009A4148">
        <w:rPr>
          <w:rFonts w:ascii="Avenir Book" w:hAnsi="Avenir Book"/>
          <w:sz w:val="22"/>
          <w:szCs w:val="22"/>
        </w:rPr>
        <w:t>included</w:t>
      </w:r>
      <w:r w:rsidR="00042FD1">
        <w:rPr>
          <w:rFonts w:ascii="Avenir Book" w:hAnsi="Avenir Book"/>
          <w:sz w:val="22"/>
          <w:szCs w:val="22"/>
        </w:rPr>
        <w:t xml:space="preserve"> the </w:t>
      </w:r>
      <w:r w:rsidR="00042FD1" w:rsidRPr="009A4148">
        <w:rPr>
          <w:rFonts w:ascii="Avenir Book" w:hAnsi="Avenir Book"/>
          <w:i/>
          <w:sz w:val="22"/>
          <w:szCs w:val="22"/>
        </w:rPr>
        <w:t xml:space="preserve">cura </w:t>
      </w:r>
      <w:r w:rsidR="00042FD1">
        <w:rPr>
          <w:rFonts w:ascii="Avenir Book" w:hAnsi="Avenir Book"/>
          <w:i/>
          <w:sz w:val="22"/>
          <w:szCs w:val="22"/>
        </w:rPr>
        <w:t>urbis</w:t>
      </w:r>
      <w:r w:rsidR="00042FD1">
        <w:rPr>
          <w:rFonts w:ascii="Avenir Book" w:hAnsi="Avenir Book"/>
          <w:sz w:val="22"/>
          <w:szCs w:val="22"/>
        </w:rPr>
        <w:t xml:space="preserve"> together with</w:t>
      </w:r>
      <w:r w:rsidR="00042FD1" w:rsidRPr="009A4148">
        <w:rPr>
          <w:rFonts w:ascii="Avenir Book" w:hAnsi="Avenir Book"/>
          <w:sz w:val="22"/>
          <w:szCs w:val="22"/>
        </w:rPr>
        <w:t xml:space="preserve"> the supply of grain and the or</w:t>
      </w:r>
      <w:r w:rsidR="00042FD1">
        <w:rPr>
          <w:rFonts w:ascii="Avenir Book" w:hAnsi="Avenir Book"/>
          <w:sz w:val="22"/>
          <w:szCs w:val="22"/>
        </w:rPr>
        <w:t>ganization of public entertainments)</w:t>
      </w:r>
      <w:r w:rsidR="00042FD1" w:rsidRPr="009A4148">
        <w:rPr>
          <w:rFonts w:ascii="Avenir Book" w:hAnsi="Avenir Book"/>
          <w:sz w:val="22"/>
          <w:szCs w:val="22"/>
        </w:rPr>
        <w:t>.</w:t>
      </w:r>
      <w:r w:rsidR="00DC2FBA">
        <w:rPr>
          <w:rFonts w:ascii="Avenir Book" w:hAnsi="Avenir Book"/>
          <w:sz w:val="22"/>
          <w:szCs w:val="22"/>
        </w:rPr>
        <w:t xml:space="preserve"> </w:t>
      </w:r>
      <w:r w:rsidR="001A1102">
        <w:rPr>
          <w:rFonts w:ascii="Avenir Book" w:hAnsi="Avenir Book"/>
          <w:sz w:val="22"/>
          <w:szCs w:val="22"/>
        </w:rPr>
        <w:t>The second question</w:t>
      </w:r>
      <w:r w:rsidR="009A3E26">
        <w:rPr>
          <w:rFonts w:ascii="Avenir Book" w:hAnsi="Avenir Book"/>
          <w:sz w:val="22"/>
          <w:szCs w:val="22"/>
        </w:rPr>
        <w:t xml:space="preserve"> asks what can </w:t>
      </w:r>
      <w:r w:rsidR="000A6809">
        <w:rPr>
          <w:rFonts w:ascii="Avenir Book" w:hAnsi="Avenir Book"/>
          <w:sz w:val="22"/>
          <w:szCs w:val="22"/>
        </w:rPr>
        <w:t xml:space="preserve">a cultural study of conservation tell us about </w:t>
      </w:r>
      <w:r w:rsidR="002126AB">
        <w:rPr>
          <w:rFonts w:ascii="Avenir Book" w:hAnsi="Avenir Book"/>
          <w:sz w:val="22"/>
          <w:szCs w:val="22"/>
        </w:rPr>
        <w:t>related topics</w:t>
      </w:r>
      <w:r>
        <w:rPr>
          <w:rFonts w:ascii="Avenir Book" w:hAnsi="Avenir Book"/>
          <w:sz w:val="22"/>
          <w:szCs w:val="22"/>
        </w:rPr>
        <w:t>, such as the cult of ruins and</w:t>
      </w:r>
      <w:r w:rsidR="002126AB">
        <w:rPr>
          <w:rFonts w:ascii="Avenir Book" w:hAnsi="Avenir Book"/>
          <w:sz w:val="22"/>
          <w:szCs w:val="22"/>
        </w:rPr>
        <w:t xml:space="preserve">, especially, </w:t>
      </w:r>
      <w:r w:rsidR="000A6809">
        <w:rPr>
          <w:rFonts w:ascii="Avenir Book" w:hAnsi="Avenir Book"/>
          <w:sz w:val="22"/>
          <w:szCs w:val="22"/>
        </w:rPr>
        <w:t>the distinction of original and copy—central to the discipline of art history as well as art connoisseurship—</w:t>
      </w:r>
      <w:r w:rsidR="009A3E26">
        <w:rPr>
          <w:rFonts w:ascii="Avenir Book" w:hAnsi="Avenir Book"/>
          <w:sz w:val="22"/>
          <w:szCs w:val="22"/>
        </w:rPr>
        <w:t xml:space="preserve">given that </w:t>
      </w:r>
      <w:r w:rsidR="000A6809">
        <w:rPr>
          <w:rFonts w:ascii="Avenir Book" w:hAnsi="Avenir Book"/>
          <w:sz w:val="22"/>
          <w:szCs w:val="22"/>
        </w:rPr>
        <w:t xml:space="preserve">replication </w:t>
      </w:r>
      <w:r>
        <w:rPr>
          <w:rFonts w:ascii="Avenir Book" w:hAnsi="Avenir Book"/>
          <w:sz w:val="22"/>
          <w:szCs w:val="22"/>
        </w:rPr>
        <w:t xml:space="preserve">was widely practiced </w:t>
      </w:r>
      <w:r w:rsidR="00C25B52">
        <w:rPr>
          <w:rFonts w:ascii="Avenir Book" w:hAnsi="Avenir Book"/>
          <w:sz w:val="22"/>
          <w:szCs w:val="22"/>
        </w:rPr>
        <w:t xml:space="preserve">in both </w:t>
      </w:r>
      <w:r w:rsidR="000A6809">
        <w:rPr>
          <w:rFonts w:ascii="Avenir Book" w:hAnsi="Avenir Book"/>
          <w:sz w:val="22"/>
          <w:szCs w:val="22"/>
        </w:rPr>
        <w:t xml:space="preserve">premodern Asia and Europe </w:t>
      </w:r>
      <w:r w:rsidR="00FC7704">
        <w:rPr>
          <w:rFonts w:ascii="Avenir Book" w:hAnsi="Avenir Book"/>
          <w:sz w:val="22"/>
          <w:szCs w:val="22"/>
        </w:rPr>
        <w:t xml:space="preserve">as a means to protect highly venerated </w:t>
      </w:r>
      <w:r w:rsidR="00C25B52">
        <w:rPr>
          <w:rFonts w:ascii="Avenir Book" w:hAnsi="Avenir Book"/>
          <w:sz w:val="22"/>
          <w:szCs w:val="22"/>
        </w:rPr>
        <w:t xml:space="preserve">cult </w:t>
      </w:r>
      <w:r w:rsidR="00FC7704">
        <w:rPr>
          <w:rFonts w:ascii="Avenir Book" w:hAnsi="Avenir Book"/>
          <w:sz w:val="22"/>
          <w:szCs w:val="22"/>
        </w:rPr>
        <w:t xml:space="preserve">objects and </w:t>
      </w:r>
      <w:r>
        <w:rPr>
          <w:rFonts w:ascii="Avenir Book" w:hAnsi="Avenir Book"/>
          <w:sz w:val="22"/>
          <w:szCs w:val="22"/>
        </w:rPr>
        <w:t>circulate</w:t>
      </w:r>
      <w:r w:rsidR="00C25B52">
        <w:rPr>
          <w:rFonts w:ascii="Avenir Book" w:hAnsi="Avenir Book"/>
          <w:sz w:val="22"/>
          <w:szCs w:val="22"/>
        </w:rPr>
        <w:t xml:space="preserve"> their thaumaturgic power.</w:t>
      </w:r>
      <w:r w:rsidR="000A6809">
        <w:rPr>
          <w:rFonts w:ascii="Avenir Book" w:hAnsi="Avenir Book"/>
          <w:sz w:val="22"/>
          <w:szCs w:val="22"/>
        </w:rPr>
        <w:t xml:space="preserve">    </w:t>
      </w:r>
      <w:r w:rsidR="00D61A91">
        <w:rPr>
          <w:rFonts w:ascii="Avenir Book" w:hAnsi="Avenir Book"/>
          <w:sz w:val="22"/>
          <w:szCs w:val="22"/>
        </w:rPr>
        <w:t xml:space="preserve"> </w:t>
      </w:r>
    </w:p>
    <w:p w14:paraId="2B9A9089" w14:textId="77777777" w:rsidR="000F0B6C" w:rsidRPr="00506265" w:rsidRDefault="000F0B6C" w:rsidP="00506265"/>
    <w:sectPr w:rsidR="000F0B6C" w:rsidRPr="00506265" w:rsidSect="000F0B6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ED2E" w14:textId="77777777" w:rsidR="002573B3" w:rsidRDefault="002573B3" w:rsidP="00506265">
      <w:r>
        <w:separator/>
      </w:r>
    </w:p>
  </w:endnote>
  <w:endnote w:type="continuationSeparator" w:id="0">
    <w:p w14:paraId="2549694F" w14:textId="77777777" w:rsidR="002573B3" w:rsidRDefault="002573B3" w:rsidP="0050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972" w14:textId="77777777" w:rsidR="002573B3" w:rsidRDefault="002573B3" w:rsidP="00257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97F8F" w14:textId="77777777" w:rsidR="002573B3" w:rsidRDefault="002573B3" w:rsidP="002126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B750" w14:textId="77777777" w:rsidR="002573B3" w:rsidRDefault="002573B3" w:rsidP="00257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3D7">
      <w:rPr>
        <w:rStyle w:val="PageNumber"/>
        <w:noProof/>
      </w:rPr>
      <w:t>1</w:t>
    </w:r>
    <w:r>
      <w:rPr>
        <w:rStyle w:val="PageNumber"/>
      </w:rPr>
      <w:fldChar w:fldCharType="end"/>
    </w:r>
  </w:p>
  <w:p w14:paraId="63767621" w14:textId="77777777" w:rsidR="002573B3" w:rsidRDefault="002573B3" w:rsidP="002126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98A8" w14:textId="77777777" w:rsidR="002573B3" w:rsidRDefault="002573B3" w:rsidP="00506265">
      <w:r>
        <w:separator/>
      </w:r>
    </w:p>
  </w:footnote>
  <w:footnote w:type="continuationSeparator" w:id="0">
    <w:p w14:paraId="006B6EC6" w14:textId="77777777" w:rsidR="002573B3" w:rsidRDefault="002573B3" w:rsidP="00506265">
      <w:r>
        <w:continuationSeparator/>
      </w:r>
    </w:p>
  </w:footnote>
  <w:footnote w:id="1">
    <w:p w14:paraId="7540BACD" w14:textId="48215BD2" w:rsidR="002573B3" w:rsidRPr="00B11057" w:rsidRDefault="002573B3" w:rsidP="0016764F">
      <w:pPr>
        <w:pStyle w:val="FootnoteText"/>
        <w:rPr>
          <w:sz w:val="20"/>
          <w:szCs w:val="20"/>
        </w:rPr>
      </w:pPr>
      <w:r w:rsidRPr="00B11057">
        <w:rPr>
          <w:rStyle w:val="FootnoteReference"/>
          <w:sz w:val="20"/>
          <w:szCs w:val="20"/>
        </w:rPr>
        <w:footnoteRef/>
      </w:r>
      <w:r w:rsidRPr="00B11057">
        <w:rPr>
          <w:sz w:val="20"/>
          <w:szCs w:val="20"/>
        </w:rPr>
        <w:t xml:space="preserve"> Lucretius, </w:t>
      </w:r>
      <w:r w:rsidRPr="00B11057">
        <w:rPr>
          <w:i/>
          <w:sz w:val="20"/>
          <w:szCs w:val="20"/>
        </w:rPr>
        <w:t xml:space="preserve">The Way Things Are: The </w:t>
      </w:r>
      <w:r w:rsidRPr="00B11057">
        <w:rPr>
          <w:sz w:val="20"/>
          <w:szCs w:val="20"/>
        </w:rPr>
        <w:t>De Rerum Naturae</w:t>
      </w:r>
      <w:r w:rsidRPr="00B11057">
        <w:rPr>
          <w:i/>
          <w:sz w:val="20"/>
          <w:szCs w:val="20"/>
        </w:rPr>
        <w:t xml:space="preserve"> of Titus Lucretius Carus</w:t>
      </w:r>
      <w:r w:rsidRPr="00B11057">
        <w:rPr>
          <w:sz w:val="20"/>
          <w:szCs w:val="20"/>
        </w:rPr>
        <w:t>, trans. Rol</w:t>
      </w:r>
      <w:r>
        <w:rPr>
          <w:sz w:val="20"/>
          <w:szCs w:val="20"/>
        </w:rPr>
        <w:t>fe Humphries (Bloomington, IN, 1968):</w:t>
      </w:r>
      <w:r w:rsidRPr="00B11057">
        <w:rPr>
          <w:sz w:val="20"/>
          <w:szCs w:val="20"/>
        </w:rPr>
        <w:t xml:space="preserve"> 150.</w:t>
      </w:r>
    </w:p>
  </w:footnote>
  <w:footnote w:id="2">
    <w:p w14:paraId="4BFFBE34" w14:textId="77777777" w:rsidR="002573B3" w:rsidRPr="003E040E" w:rsidRDefault="002573B3" w:rsidP="0016764F">
      <w:pPr>
        <w:pStyle w:val="FootnoteText"/>
        <w:rPr>
          <w:sz w:val="20"/>
          <w:szCs w:val="20"/>
          <w:lang w:val="en-US"/>
        </w:rPr>
      </w:pPr>
      <w:r w:rsidRPr="003E040E">
        <w:rPr>
          <w:rStyle w:val="FootnoteReference"/>
          <w:sz w:val="20"/>
          <w:szCs w:val="20"/>
        </w:rPr>
        <w:footnoteRef/>
      </w:r>
      <w:r w:rsidRPr="003E040E">
        <w:rPr>
          <w:sz w:val="20"/>
          <w:szCs w:val="20"/>
        </w:rPr>
        <w:t xml:space="preserve"> </w:t>
      </w:r>
      <w:r w:rsidRPr="003E040E">
        <w:rPr>
          <w:sz w:val="20"/>
          <w:szCs w:val="20"/>
          <w:lang w:val="en-US"/>
        </w:rPr>
        <w:t xml:space="preserve">Prasert na Nagara and A. B. Griswold, </w:t>
      </w:r>
      <w:r w:rsidRPr="003E040E">
        <w:rPr>
          <w:i/>
          <w:sz w:val="20"/>
          <w:szCs w:val="20"/>
          <w:lang w:val="en-US"/>
        </w:rPr>
        <w:t>Epigraphical and Historical Studies</w:t>
      </w:r>
      <w:r w:rsidRPr="003E040E">
        <w:rPr>
          <w:sz w:val="20"/>
          <w:szCs w:val="20"/>
          <w:lang w:val="en-US"/>
        </w:rPr>
        <w:t xml:space="preserve"> (Bangkok, 1992): 393.</w:t>
      </w:r>
    </w:p>
  </w:footnote>
  <w:footnote w:id="3">
    <w:p w14:paraId="666F03F9" w14:textId="124A5165" w:rsidR="002573B3" w:rsidRPr="00AA6AC1" w:rsidRDefault="002573B3">
      <w:pPr>
        <w:pStyle w:val="FootnoteText"/>
        <w:rPr>
          <w:rFonts w:cs="Times New Roman"/>
          <w:sz w:val="20"/>
          <w:szCs w:val="20"/>
          <w:lang w:val="en-US"/>
        </w:rPr>
      </w:pPr>
      <w:r w:rsidRPr="00AA6AC1">
        <w:rPr>
          <w:rStyle w:val="FootnoteReference"/>
          <w:rFonts w:cs="Times New Roman"/>
          <w:sz w:val="20"/>
          <w:szCs w:val="20"/>
        </w:rPr>
        <w:footnoteRef/>
      </w:r>
      <w:r>
        <w:rPr>
          <w:rFonts w:cs="Times New Roman"/>
          <w:sz w:val="20"/>
          <w:szCs w:val="20"/>
        </w:rPr>
        <w:t xml:space="preserve"> Marc Augé,</w:t>
      </w:r>
      <w:r w:rsidRPr="00AA6AC1">
        <w:rPr>
          <w:rFonts w:cs="Times New Roman"/>
          <w:sz w:val="20"/>
          <w:szCs w:val="20"/>
        </w:rPr>
        <w:t xml:space="preserve"> </w:t>
      </w:r>
      <w:r w:rsidRPr="00AA6AC1">
        <w:rPr>
          <w:rFonts w:cs="Times New Roman"/>
          <w:i/>
          <w:sz w:val="20"/>
          <w:szCs w:val="20"/>
        </w:rPr>
        <w:t>Les temps en ruins</w:t>
      </w:r>
      <w:r w:rsidRPr="00AA6AC1">
        <w:rPr>
          <w:rFonts w:cs="Times New Roman"/>
          <w:sz w:val="20"/>
          <w:szCs w:val="20"/>
        </w:rPr>
        <w:t xml:space="preserve"> (Paris, 1991).</w:t>
      </w:r>
    </w:p>
  </w:footnote>
  <w:footnote w:id="4">
    <w:p w14:paraId="7839BFAF" w14:textId="77777777" w:rsidR="002573B3" w:rsidRPr="00B11057" w:rsidRDefault="002573B3" w:rsidP="00506265">
      <w:pPr>
        <w:pStyle w:val="FootnoteText"/>
        <w:rPr>
          <w:sz w:val="20"/>
          <w:szCs w:val="20"/>
        </w:rPr>
      </w:pPr>
      <w:r w:rsidRPr="00B11057">
        <w:rPr>
          <w:rStyle w:val="FootnoteReference"/>
          <w:sz w:val="20"/>
          <w:szCs w:val="20"/>
        </w:rPr>
        <w:footnoteRef/>
      </w:r>
      <w:r w:rsidRPr="00B11057">
        <w:rPr>
          <w:sz w:val="20"/>
          <w:szCs w:val="20"/>
        </w:rPr>
        <w:t xml:space="preserve"> “Salla Sutta: The Arrow,” </w:t>
      </w:r>
      <w:r w:rsidRPr="00B11057">
        <w:rPr>
          <w:i/>
          <w:sz w:val="20"/>
          <w:szCs w:val="20"/>
        </w:rPr>
        <w:t>Sutta Nipata</w:t>
      </w:r>
      <w:r>
        <w:rPr>
          <w:sz w:val="20"/>
          <w:szCs w:val="20"/>
        </w:rPr>
        <w:t xml:space="preserve"> (Sn 3.8), trans. </w:t>
      </w:r>
      <w:r w:rsidRPr="00B11057">
        <w:rPr>
          <w:sz w:val="20"/>
          <w:szCs w:val="20"/>
        </w:rPr>
        <w:t>John D. Ireland (1994)</w:t>
      </w:r>
      <w:r>
        <w:rPr>
          <w:sz w:val="20"/>
          <w:szCs w:val="20"/>
        </w:rPr>
        <w:t>.</w:t>
      </w:r>
    </w:p>
  </w:footnote>
  <w:footnote w:id="5">
    <w:p w14:paraId="5A7B9B47" w14:textId="77777777" w:rsidR="002573B3" w:rsidRPr="00220D2E" w:rsidRDefault="002573B3" w:rsidP="00506265">
      <w:pPr>
        <w:pStyle w:val="FootnoteText"/>
        <w:rPr>
          <w:sz w:val="20"/>
          <w:szCs w:val="20"/>
          <w:lang w:val="en-US"/>
        </w:rPr>
      </w:pPr>
      <w:r w:rsidRPr="00220D2E">
        <w:rPr>
          <w:rStyle w:val="FootnoteReference"/>
          <w:sz w:val="20"/>
          <w:szCs w:val="20"/>
        </w:rPr>
        <w:footnoteRef/>
      </w:r>
      <w:r w:rsidRPr="00220D2E">
        <w:rPr>
          <w:sz w:val="20"/>
          <w:szCs w:val="20"/>
        </w:rPr>
        <w:t xml:space="preserve"> </w:t>
      </w:r>
      <w:r w:rsidRPr="00220D2E">
        <w:rPr>
          <w:sz w:val="20"/>
          <w:szCs w:val="20"/>
          <w:lang w:val="en-US"/>
        </w:rPr>
        <w:t xml:space="preserve">See, among others, Carolyn Walker Bauman, </w:t>
      </w:r>
      <w:r w:rsidRPr="00220D2E">
        <w:rPr>
          <w:i/>
          <w:sz w:val="20"/>
          <w:szCs w:val="20"/>
          <w:lang w:val="en-US"/>
        </w:rPr>
        <w:t xml:space="preserve">Christian Materiality: And Essay on Religion in Late Medieval Europe </w:t>
      </w:r>
      <w:r w:rsidRPr="00220D2E">
        <w:rPr>
          <w:sz w:val="20"/>
          <w:szCs w:val="20"/>
          <w:lang w:val="en-US"/>
        </w:rPr>
        <w:t xml:space="preserve">(New York, 2011); Dick Houtman and Birgit Meyer, ed., </w:t>
      </w:r>
      <w:r w:rsidRPr="00220D2E">
        <w:rPr>
          <w:i/>
          <w:sz w:val="20"/>
          <w:szCs w:val="20"/>
          <w:lang w:val="en-US"/>
        </w:rPr>
        <w:t>Things: Religions and the Question of Materiality</w:t>
      </w:r>
      <w:r w:rsidRPr="00220D2E">
        <w:rPr>
          <w:sz w:val="20"/>
          <w:szCs w:val="20"/>
          <w:lang w:val="en-US"/>
        </w:rPr>
        <w:t xml:space="preserve"> (New York, 2012).</w:t>
      </w:r>
    </w:p>
  </w:footnote>
  <w:footnote w:id="6">
    <w:p w14:paraId="73707931" w14:textId="77777777" w:rsidR="002573B3" w:rsidRPr="004D5C8B" w:rsidRDefault="002573B3" w:rsidP="0016764F">
      <w:pPr>
        <w:pStyle w:val="FootnoteText"/>
        <w:rPr>
          <w:sz w:val="20"/>
          <w:szCs w:val="20"/>
          <w:lang w:val="en-US"/>
        </w:rPr>
      </w:pPr>
      <w:r w:rsidRPr="004D5C8B">
        <w:rPr>
          <w:rStyle w:val="FootnoteReference"/>
          <w:sz w:val="20"/>
          <w:szCs w:val="20"/>
        </w:rPr>
        <w:footnoteRef/>
      </w:r>
      <w:r w:rsidRPr="004D5C8B">
        <w:rPr>
          <w:sz w:val="20"/>
          <w:szCs w:val="20"/>
        </w:rPr>
        <w:t xml:space="preserve"> </w:t>
      </w:r>
      <w:r>
        <w:rPr>
          <w:sz w:val="20"/>
          <w:szCs w:val="20"/>
        </w:rPr>
        <w:t xml:space="preserve">Jan Assmann’s, </w:t>
      </w:r>
      <w:r w:rsidRPr="00A7647B">
        <w:rPr>
          <w:i/>
          <w:sz w:val="20"/>
          <w:szCs w:val="20"/>
        </w:rPr>
        <w:t>The Price of Monotheism</w:t>
      </w:r>
      <w:r w:rsidRPr="004D5C8B">
        <w:rPr>
          <w:sz w:val="20"/>
          <w:szCs w:val="20"/>
        </w:rPr>
        <w:t xml:space="preserve"> (Stanford, </w:t>
      </w:r>
      <w:r>
        <w:rPr>
          <w:sz w:val="20"/>
          <w:szCs w:val="20"/>
        </w:rPr>
        <w:t xml:space="preserve">CA, </w:t>
      </w:r>
      <w:r w:rsidRPr="004D5C8B">
        <w:rPr>
          <w:sz w:val="20"/>
          <w:szCs w:val="20"/>
        </w:rPr>
        <w:t>2010),</w:t>
      </w:r>
      <w:r>
        <w:rPr>
          <w:sz w:val="20"/>
          <w:szCs w:val="20"/>
        </w:rPr>
        <w:t xml:space="preserve"> 71. On the materiality of religion see, among others, Caroline Walker Bynum, Christian </w:t>
      </w:r>
      <w:r w:rsidRPr="001F6D23">
        <w:rPr>
          <w:i/>
          <w:sz w:val="20"/>
          <w:szCs w:val="20"/>
        </w:rPr>
        <w:t xml:space="preserve">Materiality: An Essay on Religion in Late Medieval Europe </w:t>
      </w:r>
      <w:r>
        <w:rPr>
          <w:sz w:val="20"/>
          <w:szCs w:val="20"/>
        </w:rPr>
        <w:t xml:space="preserve">(New York, 2011); David Germano and Kevin Trainor, eds., </w:t>
      </w:r>
      <w:r w:rsidRPr="001F6D23">
        <w:rPr>
          <w:i/>
          <w:sz w:val="20"/>
          <w:szCs w:val="20"/>
        </w:rPr>
        <w:t xml:space="preserve">Embodying the Dharma: Buddhist Relic Veneration in Asia </w:t>
      </w:r>
      <w:r>
        <w:rPr>
          <w:sz w:val="20"/>
          <w:szCs w:val="20"/>
        </w:rPr>
        <w:t>(Albany, NY, 2004).</w:t>
      </w:r>
    </w:p>
  </w:footnote>
  <w:footnote w:id="7">
    <w:p w14:paraId="6567E952" w14:textId="77777777"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Francoise Choay, </w:t>
      </w:r>
      <w:r w:rsidRPr="00B53E31">
        <w:rPr>
          <w:i/>
          <w:sz w:val="20"/>
          <w:szCs w:val="20"/>
        </w:rPr>
        <w:t xml:space="preserve">The Invention of the Historic Monument </w:t>
      </w:r>
      <w:r w:rsidRPr="00B53E31">
        <w:rPr>
          <w:sz w:val="20"/>
          <w:szCs w:val="20"/>
        </w:rPr>
        <w:t xml:space="preserve">(1992), trans. L. M. O’Connell (CUP, 2001); Alessandro Conti, </w:t>
      </w:r>
      <w:r w:rsidRPr="00B53E31">
        <w:rPr>
          <w:i/>
          <w:sz w:val="20"/>
          <w:szCs w:val="20"/>
        </w:rPr>
        <w:t>History of the Restoration and Conservation of Works of Art</w:t>
      </w:r>
      <w:r w:rsidRPr="00B53E31">
        <w:rPr>
          <w:sz w:val="20"/>
          <w:szCs w:val="20"/>
        </w:rPr>
        <w:t xml:space="preserve">, trans. Helen Glanville (Oxford: Butterworth-Heinemann, 2007); Jukka Jokilehto, </w:t>
      </w:r>
      <w:r w:rsidRPr="00B53E31">
        <w:rPr>
          <w:i/>
          <w:sz w:val="20"/>
          <w:szCs w:val="20"/>
        </w:rPr>
        <w:t>A History of Architectural Conservation</w:t>
      </w:r>
      <w:r w:rsidRPr="00B53E31">
        <w:rPr>
          <w:sz w:val="20"/>
          <w:szCs w:val="20"/>
        </w:rPr>
        <w:t xml:space="preserve"> (Oxford: Butterworth-Heinemann, 1999).</w:t>
      </w:r>
      <w:r>
        <w:rPr>
          <w:sz w:val="20"/>
          <w:szCs w:val="20"/>
        </w:rPr>
        <w:t xml:space="preserve"> An exception is Alain Schnapp’s </w:t>
      </w:r>
      <w:r w:rsidRPr="00501C07">
        <w:rPr>
          <w:i/>
          <w:sz w:val="20"/>
          <w:szCs w:val="20"/>
        </w:rPr>
        <w:t>The Discovery of the Past</w:t>
      </w:r>
      <w:r>
        <w:rPr>
          <w:sz w:val="20"/>
          <w:szCs w:val="20"/>
        </w:rPr>
        <w:t xml:space="preserve"> (New York, 1997), which mentions antiquarian and conservative endeavours in the ancient Near East. </w:t>
      </w:r>
    </w:p>
  </w:footnote>
  <w:footnote w:id="8">
    <w:p w14:paraId="5E6EDAFC" w14:textId="77777777" w:rsidR="002573B3" w:rsidRPr="00A900B2" w:rsidRDefault="002573B3" w:rsidP="00506265">
      <w:pPr>
        <w:pStyle w:val="FootnoteText"/>
        <w:rPr>
          <w:sz w:val="20"/>
          <w:szCs w:val="20"/>
          <w:lang w:val="en-US"/>
        </w:rPr>
      </w:pPr>
      <w:r w:rsidRPr="00A900B2">
        <w:rPr>
          <w:rStyle w:val="FootnoteReference"/>
          <w:sz w:val="20"/>
          <w:szCs w:val="20"/>
        </w:rPr>
        <w:footnoteRef/>
      </w:r>
      <w:r w:rsidRPr="00A900B2">
        <w:rPr>
          <w:sz w:val="20"/>
          <w:szCs w:val="20"/>
        </w:rPr>
        <w:t xml:space="preserve"> </w:t>
      </w:r>
      <w:r w:rsidRPr="00A900B2">
        <w:rPr>
          <w:sz w:val="20"/>
          <w:szCs w:val="20"/>
          <w:lang w:val="en-US"/>
        </w:rPr>
        <w:t xml:space="preserve">Among recent studies that broaden antiquarianism’s cultural and chronological compass, see Peter N. Miller and Francois Louis, eds., </w:t>
      </w:r>
      <w:r w:rsidRPr="00A900B2">
        <w:rPr>
          <w:i/>
          <w:sz w:val="20"/>
          <w:szCs w:val="20"/>
          <w:lang w:val="en-US"/>
        </w:rPr>
        <w:t xml:space="preserve">Antiquarianism and Intellectual Life in Europe and China, 1500-1800 </w:t>
      </w:r>
      <w:r w:rsidRPr="00A900B2">
        <w:rPr>
          <w:sz w:val="20"/>
          <w:szCs w:val="20"/>
          <w:lang w:val="en-US"/>
        </w:rPr>
        <w:t xml:space="preserve">(Ann Arbor, 2012); Alain Schnapp et al., ed., </w:t>
      </w:r>
      <w:r w:rsidRPr="00A900B2">
        <w:rPr>
          <w:i/>
          <w:sz w:val="20"/>
          <w:szCs w:val="20"/>
          <w:lang w:val="en-US"/>
        </w:rPr>
        <w:t>World Antiquarianism: Comparative Perspectives</w:t>
      </w:r>
      <w:r w:rsidRPr="00A900B2">
        <w:rPr>
          <w:sz w:val="20"/>
          <w:szCs w:val="20"/>
          <w:lang w:val="en-US"/>
        </w:rPr>
        <w:t xml:space="preserve"> (Los Angeles, 2013).      </w:t>
      </w:r>
    </w:p>
  </w:footnote>
  <w:footnote w:id="9">
    <w:p w14:paraId="5DD3DA79" w14:textId="77777777" w:rsidR="002573B3" w:rsidRPr="00B53E31" w:rsidRDefault="002573B3" w:rsidP="00506265">
      <w:pPr>
        <w:rPr>
          <w:sz w:val="20"/>
          <w:szCs w:val="20"/>
        </w:rPr>
      </w:pPr>
      <w:r w:rsidRPr="00B53E31">
        <w:rPr>
          <w:rStyle w:val="FootnoteReference"/>
          <w:sz w:val="20"/>
          <w:szCs w:val="20"/>
        </w:rPr>
        <w:footnoteRef/>
      </w:r>
      <w:r w:rsidRPr="00B53E31">
        <w:rPr>
          <w:sz w:val="20"/>
          <w:szCs w:val="20"/>
        </w:rPr>
        <w:t xml:space="preserve"> Eug</w:t>
      </w:r>
      <w:r w:rsidRPr="00B53E31">
        <w:rPr>
          <w:rFonts w:ascii="Cambria" w:hAnsi="Cambria"/>
          <w:sz w:val="20"/>
          <w:szCs w:val="20"/>
        </w:rPr>
        <w:t>è</w:t>
      </w:r>
      <w:r w:rsidRPr="00B53E31">
        <w:rPr>
          <w:sz w:val="20"/>
          <w:szCs w:val="20"/>
        </w:rPr>
        <w:t>ne E. Viollet-le-Duc,</w:t>
      </w:r>
      <w:r>
        <w:rPr>
          <w:sz w:val="20"/>
          <w:szCs w:val="20"/>
        </w:rPr>
        <w:t xml:space="preserve"> </w:t>
      </w:r>
      <w:r w:rsidRPr="00B53E31">
        <w:rPr>
          <w:i/>
          <w:sz w:val="20"/>
          <w:szCs w:val="20"/>
        </w:rPr>
        <w:t>Dictionaire raisonn</w:t>
      </w:r>
      <w:r w:rsidRPr="00B53E31">
        <w:rPr>
          <w:rFonts w:ascii="Cambria" w:hAnsi="Cambria"/>
          <w:i/>
          <w:sz w:val="20"/>
          <w:szCs w:val="20"/>
        </w:rPr>
        <w:t>é</w:t>
      </w:r>
      <w:r w:rsidRPr="00B53E31">
        <w:rPr>
          <w:i/>
          <w:sz w:val="20"/>
          <w:szCs w:val="20"/>
        </w:rPr>
        <w:t xml:space="preserve"> de l’architecture fran</w:t>
      </w:r>
      <w:r w:rsidRPr="00B53E31">
        <w:rPr>
          <w:rFonts w:ascii="Cambria" w:hAnsi="Cambria"/>
          <w:i/>
          <w:sz w:val="20"/>
          <w:szCs w:val="20"/>
        </w:rPr>
        <w:t>ç</w:t>
      </w:r>
      <w:r w:rsidRPr="00B53E31">
        <w:rPr>
          <w:i/>
          <w:sz w:val="20"/>
          <w:szCs w:val="20"/>
        </w:rPr>
        <w:t>aise du xi au XVI si</w:t>
      </w:r>
      <w:r w:rsidRPr="00B53E31">
        <w:rPr>
          <w:rFonts w:ascii="Cambria" w:hAnsi="Cambria"/>
          <w:i/>
          <w:sz w:val="20"/>
          <w:szCs w:val="20"/>
        </w:rPr>
        <w:t>è</w:t>
      </w:r>
      <w:r w:rsidRPr="00B53E31">
        <w:rPr>
          <w:i/>
          <w:sz w:val="20"/>
          <w:szCs w:val="20"/>
        </w:rPr>
        <w:t>cle</w:t>
      </w:r>
      <w:r>
        <w:rPr>
          <w:sz w:val="20"/>
          <w:szCs w:val="20"/>
        </w:rPr>
        <w:t xml:space="preserve"> (1854-1868), vol. VIII, p. 14.</w:t>
      </w:r>
      <w:r w:rsidRPr="00B53E31">
        <w:rPr>
          <w:sz w:val="20"/>
          <w:szCs w:val="20"/>
        </w:rPr>
        <w:t xml:space="preserve"> </w:t>
      </w:r>
      <w:r>
        <w:rPr>
          <w:sz w:val="20"/>
          <w:szCs w:val="20"/>
        </w:rPr>
        <w:t xml:space="preserve">Entry ‘Restoration’ </w:t>
      </w:r>
      <w:r w:rsidRPr="00B53E31">
        <w:rPr>
          <w:sz w:val="20"/>
          <w:szCs w:val="20"/>
        </w:rPr>
        <w:t xml:space="preserve">translated in M. F. Hearn, ed., </w:t>
      </w:r>
      <w:r w:rsidRPr="00B53E31">
        <w:rPr>
          <w:i/>
          <w:sz w:val="20"/>
          <w:szCs w:val="20"/>
        </w:rPr>
        <w:t xml:space="preserve">The Architectural Theory of Viollet-le-Duc: Readings and Commentary </w:t>
      </w:r>
      <w:r w:rsidRPr="00B53E31">
        <w:rPr>
          <w:sz w:val="20"/>
          <w:szCs w:val="20"/>
        </w:rPr>
        <w:t>(MIT Press, 1990), 269.</w:t>
      </w:r>
      <w:r w:rsidRPr="00546F2A">
        <w:rPr>
          <w:sz w:val="20"/>
          <w:szCs w:val="20"/>
        </w:rPr>
        <w:t xml:space="preserve"> </w:t>
      </w:r>
    </w:p>
  </w:footnote>
  <w:footnote w:id="10">
    <w:p w14:paraId="23714780" w14:textId="77777777" w:rsidR="002573B3" w:rsidRPr="003E040E" w:rsidRDefault="002573B3" w:rsidP="00506265">
      <w:pPr>
        <w:pStyle w:val="FootnoteText"/>
        <w:rPr>
          <w:sz w:val="20"/>
          <w:szCs w:val="20"/>
          <w:lang w:val="en-US"/>
        </w:rPr>
      </w:pPr>
      <w:r w:rsidRPr="003E040E">
        <w:rPr>
          <w:rStyle w:val="FootnoteReference"/>
          <w:sz w:val="20"/>
          <w:szCs w:val="20"/>
        </w:rPr>
        <w:footnoteRef/>
      </w:r>
      <w:r w:rsidRPr="003E040E">
        <w:rPr>
          <w:sz w:val="20"/>
          <w:szCs w:val="20"/>
        </w:rPr>
        <w:t xml:space="preserve"> </w:t>
      </w:r>
      <w:r>
        <w:rPr>
          <w:sz w:val="20"/>
          <w:szCs w:val="20"/>
          <w:lang w:val="en-US"/>
        </w:rPr>
        <w:t>A full translation of Riegl’s essay</w:t>
      </w:r>
      <w:r w:rsidRPr="003E040E">
        <w:rPr>
          <w:sz w:val="20"/>
          <w:szCs w:val="20"/>
          <w:lang w:val="en-US"/>
        </w:rPr>
        <w:t xml:space="preserve"> </w:t>
      </w:r>
      <w:r>
        <w:rPr>
          <w:sz w:val="20"/>
          <w:szCs w:val="20"/>
          <w:lang w:val="en-US"/>
        </w:rPr>
        <w:t>is available as</w:t>
      </w:r>
      <w:r w:rsidRPr="003E040E">
        <w:rPr>
          <w:sz w:val="20"/>
          <w:szCs w:val="20"/>
          <w:lang w:val="en-US"/>
        </w:rPr>
        <w:t xml:space="preserve"> ‘The Modern Cult of Monuments: Its Character and Its Origins’, trans. </w:t>
      </w:r>
      <w:r>
        <w:rPr>
          <w:sz w:val="20"/>
          <w:szCs w:val="20"/>
          <w:lang w:val="en-US"/>
        </w:rPr>
        <w:t xml:space="preserve">K. W. </w:t>
      </w:r>
      <w:r w:rsidRPr="003E040E">
        <w:rPr>
          <w:sz w:val="20"/>
          <w:szCs w:val="20"/>
          <w:lang w:val="en-US"/>
        </w:rPr>
        <w:t xml:space="preserve">Forster and Dianne Ghirardo, </w:t>
      </w:r>
      <w:r w:rsidRPr="003E040E">
        <w:rPr>
          <w:i/>
          <w:sz w:val="20"/>
          <w:szCs w:val="20"/>
          <w:lang w:val="en-US"/>
        </w:rPr>
        <w:t>Oppositions</w:t>
      </w:r>
      <w:r>
        <w:rPr>
          <w:sz w:val="20"/>
          <w:szCs w:val="20"/>
          <w:lang w:val="en-US"/>
        </w:rPr>
        <w:t xml:space="preserve"> 25 (Fall 1982), 21-56. For a partial translation,</w:t>
      </w:r>
      <w:r w:rsidRPr="003E040E">
        <w:rPr>
          <w:sz w:val="20"/>
          <w:szCs w:val="20"/>
          <w:lang w:val="en-US"/>
        </w:rPr>
        <w:t xml:space="preserve"> </w:t>
      </w:r>
      <w:r>
        <w:rPr>
          <w:sz w:val="20"/>
          <w:szCs w:val="20"/>
          <w:lang w:val="en-US"/>
        </w:rPr>
        <w:t xml:space="preserve">see </w:t>
      </w:r>
      <w:r w:rsidRPr="003E040E">
        <w:rPr>
          <w:sz w:val="20"/>
          <w:szCs w:val="20"/>
          <w:lang w:val="en-US"/>
        </w:rPr>
        <w:t xml:space="preserve">‘The Modern Cult of Monuments: Its Essence and its Development’, trans. Karin Bruckner and Karen Williams, in Nicholas Stanley Price et al. ed., </w:t>
      </w:r>
      <w:r w:rsidRPr="003E040E">
        <w:rPr>
          <w:i/>
          <w:sz w:val="20"/>
          <w:szCs w:val="20"/>
          <w:lang w:val="en-US"/>
        </w:rPr>
        <w:t xml:space="preserve">Historical and Philosophical Issues in the Conservation of Cultural Heritage </w:t>
      </w:r>
      <w:r w:rsidRPr="003E040E">
        <w:rPr>
          <w:sz w:val="20"/>
          <w:szCs w:val="20"/>
          <w:lang w:val="en-US"/>
        </w:rPr>
        <w:t xml:space="preserve">(Los Angeles, 1996), 69-83.    </w:t>
      </w:r>
    </w:p>
  </w:footnote>
  <w:footnote w:id="11">
    <w:p w14:paraId="4BD0B06C" w14:textId="77777777" w:rsidR="002573B3" w:rsidRPr="00CF393E" w:rsidRDefault="002573B3" w:rsidP="00506265">
      <w:pPr>
        <w:pStyle w:val="FootnoteText"/>
        <w:rPr>
          <w:sz w:val="20"/>
          <w:szCs w:val="20"/>
          <w:lang w:val="en-US"/>
        </w:rPr>
      </w:pPr>
      <w:r w:rsidRPr="00CF393E">
        <w:rPr>
          <w:rStyle w:val="FootnoteReference"/>
          <w:sz w:val="20"/>
          <w:szCs w:val="20"/>
        </w:rPr>
        <w:footnoteRef/>
      </w:r>
      <w:r>
        <w:rPr>
          <w:sz w:val="20"/>
          <w:szCs w:val="20"/>
        </w:rPr>
        <w:t xml:space="preserve"> Matthew Hardy, ed., </w:t>
      </w:r>
      <w:r w:rsidRPr="003A05B8">
        <w:rPr>
          <w:i/>
          <w:sz w:val="20"/>
          <w:szCs w:val="20"/>
        </w:rPr>
        <w:t xml:space="preserve">The Venice Charter Revisited: Modernism, Conservation, and Tradition in the 21th Century </w:t>
      </w:r>
      <w:r>
        <w:rPr>
          <w:sz w:val="20"/>
          <w:szCs w:val="20"/>
        </w:rPr>
        <w:t xml:space="preserve">(Newcastle upon Tyne, 2008); UNESCO, </w:t>
      </w:r>
      <w:r w:rsidRPr="003A05B8">
        <w:rPr>
          <w:i/>
          <w:sz w:val="20"/>
          <w:szCs w:val="20"/>
        </w:rPr>
        <w:t>Asia Conserved: Lessons Learned from the UNESCO Asia-Pacific Awards for Cultural Heritage Conservation 2000-2004</w:t>
      </w:r>
      <w:r>
        <w:rPr>
          <w:sz w:val="20"/>
          <w:szCs w:val="20"/>
        </w:rPr>
        <w:t xml:space="preserve"> (Bangkok, 2007). On the impact of the two world wars on twentieth-century conservation, see Lucia Allais, </w:t>
      </w:r>
      <w:r w:rsidRPr="00706EEB">
        <w:rPr>
          <w:i/>
          <w:sz w:val="20"/>
          <w:szCs w:val="20"/>
        </w:rPr>
        <w:t xml:space="preserve">Designs of Destruction: The Making of Modern Monuments in the Twentieth Century </w:t>
      </w:r>
      <w:r>
        <w:rPr>
          <w:sz w:val="20"/>
          <w:szCs w:val="20"/>
        </w:rPr>
        <w:t>(Chicago, 2018). It is a sound criticism that</w:t>
      </w:r>
      <w:r w:rsidRPr="00A06AA5">
        <w:rPr>
          <w:sz w:val="20"/>
          <w:szCs w:val="20"/>
        </w:rPr>
        <w:t xml:space="preserve">, </w:t>
      </w:r>
      <w:r>
        <w:rPr>
          <w:sz w:val="20"/>
          <w:szCs w:val="20"/>
        </w:rPr>
        <w:t xml:space="preserve">by adopting a procedure </w:t>
      </w:r>
      <w:r w:rsidRPr="00A06AA5">
        <w:rPr>
          <w:sz w:val="20"/>
          <w:szCs w:val="20"/>
        </w:rPr>
        <w:t>driven by</w:t>
      </w:r>
      <w:r>
        <w:rPr>
          <w:sz w:val="20"/>
          <w:szCs w:val="20"/>
        </w:rPr>
        <w:t xml:space="preserve"> individual nation-states, the </w:t>
      </w:r>
      <w:r w:rsidRPr="00A06AA5">
        <w:rPr>
          <w:sz w:val="20"/>
          <w:szCs w:val="20"/>
        </w:rPr>
        <w:t xml:space="preserve">inscription </w:t>
      </w:r>
      <w:r>
        <w:rPr>
          <w:sz w:val="20"/>
          <w:szCs w:val="20"/>
        </w:rPr>
        <w:t xml:space="preserve">of sites </w:t>
      </w:r>
      <w:r w:rsidRPr="00A06AA5">
        <w:rPr>
          <w:sz w:val="20"/>
          <w:szCs w:val="20"/>
        </w:rPr>
        <w:t>on the World Heritage List ac</w:t>
      </w:r>
      <w:r>
        <w:rPr>
          <w:sz w:val="20"/>
          <w:szCs w:val="20"/>
        </w:rPr>
        <w:t xml:space="preserve">tually contradicts UNESCO’s </w:t>
      </w:r>
      <w:r w:rsidRPr="00A06AA5">
        <w:rPr>
          <w:sz w:val="20"/>
          <w:szCs w:val="20"/>
        </w:rPr>
        <w:t>universalistic rhetoric by giving a global audience to nationalist claims abo</w:t>
      </w:r>
      <w:r>
        <w:rPr>
          <w:sz w:val="20"/>
          <w:szCs w:val="20"/>
        </w:rPr>
        <w:t>ut cultural primacy and uniqu</w:t>
      </w:r>
      <w:r w:rsidRPr="00A06AA5">
        <w:rPr>
          <w:sz w:val="20"/>
          <w:szCs w:val="20"/>
        </w:rPr>
        <w:t>eness.</w:t>
      </w:r>
      <w:r>
        <w:rPr>
          <w:rFonts w:ascii="Avenir Book" w:hAnsi="Avenir Book"/>
          <w:sz w:val="22"/>
          <w:szCs w:val="22"/>
        </w:rPr>
        <w:t xml:space="preserve"> </w:t>
      </w:r>
      <w:r>
        <w:rPr>
          <w:sz w:val="20"/>
          <w:szCs w:val="20"/>
        </w:rPr>
        <w:t xml:space="preserve"> </w:t>
      </w:r>
    </w:p>
  </w:footnote>
  <w:footnote w:id="12">
    <w:p w14:paraId="200CFE8C" w14:textId="77777777" w:rsidR="002573B3" w:rsidRPr="00B53E31" w:rsidRDefault="002573B3" w:rsidP="00506265">
      <w:pPr>
        <w:pStyle w:val="FootnoteText"/>
        <w:rPr>
          <w:sz w:val="20"/>
          <w:szCs w:val="20"/>
        </w:rPr>
      </w:pPr>
      <w:r w:rsidRPr="00B53E31">
        <w:rPr>
          <w:rStyle w:val="FootnoteReference"/>
          <w:sz w:val="20"/>
          <w:szCs w:val="20"/>
        </w:rPr>
        <w:footnoteRef/>
      </w:r>
      <w:r>
        <w:rPr>
          <w:sz w:val="20"/>
          <w:szCs w:val="20"/>
        </w:rPr>
        <w:t xml:space="preserve"> Claude L</w:t>
      </w:r>
      <w:r>
        <w:rPr>
          <w:rFonts w:ascii="Cambria" w:hAnsi="Cambria"/>
          <w:sz w:val="20"/>
          <w:szCs w:val="20"/>
        </w:rPr>
        <w:t>é</w:t>
      </w:r>
      <w:r>
        <w:rPr>
          <w:sz w:val="20"/>
          <w:szCs w:val="20"/>
        </w:rPr>
        <w:t xml:space="preserve">vi-Strauss, </w:t>
      </w:r>
      <w:r w:rsidRPr="00A7647B">
        <w:rPr>
          <w:i/>
          <w:sz w:val="20"/>
          <w:szCs w:val="20"/>
        </w:rPr>
        <w:t>The Savage Mind</w:t>
      </w:r>
      <w:r>
        <w:rPr>
          <w:sz w:val="20"/>
          <w:szCs w:val="20"/>
        </w:rPr>
        <w:t xml:space="preserve"> (Chicago, 1966), 235-36.</w:t>
      </w:r>
    </w:p>
  </w:footnote>
  <w:footnote w:id="13">
    <w:p w14:paraId="2D8DF623" w14:textId="5D8D69DA"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Mircea Eliade, </w:t>
      </w:r>
      <w:r w:rsidRPr="00C836C2">
        <w:rPr>
          <w:i/>
          <w:sz w:val="20"/>
          <w:szCs w:val="20"/>
        </w:rPr>
        <w:t>The Sacred and the Profane: The Nature of Religion</w:t>
      </w:r>
      <w:r w:rsidRPr="00B53E31">
        <w:rPr>
          <w:sz w:val="20"/>
          <w:szCs w:val="20"/>
        </w:rPr>
        <w:t>, trans. Willard R. Trask (Orlando,</w:t>
      </w:r>
      <w:r>
        <w:rPr>
          <w:sz w:val="20"/>
          <w:szCs w:val="20"/>
        </w:rPr>
        <w:t xml:space="preserve"> FL, Harcourt, Inc. 1959), 75, citing Werner M</w:t>
      </w:r>
      <w:r>
        <w:rPr>
          <w:rFonts w:ascii="Cambria" w:hAnsi="Cambria"/>
          <w:sz w:val="20"/>
          <w:szCs w:val="20"/>
        </w:rPr>
        <w:t xml:space="preserve">üller, </w:t>
      </w:r>
      <w:r w:rsidRPr="000A19C3">
        <w:rPr>
          <w:rFonts w:ascii="Cambria" w:hAnsi="Cambria"/>
          <w:i/>
          <w:sz w:val="20"/>
          <w:szCs w:val="20"/>
        </w:rPr>
        <w:t>Kreis und Kreuz</w:t>
      </w:r>
      <w:r>
        <w:rPr>
          <w:rFonts w:ascii="Cambria" w:hAnsi="Cambria"/>
          <w:sz w:val="20"/>
          <w:szCs w:val="20"/>
        </w:rPr>
        <w:t xml:space="preserve"> (Berlin, 1938), 39</w:t>
      </w:r>
      <w:r>
        <w:rPr>
          <w:sz w:val="20"/>
          <w:szCs w:val="20"/>
        </w:rPr>
        <w:t xml:space="preserve">. The </w:t>
      </w:r>
      <w:r w:rsidRPr="00B53E31">
        <w:rPr>
          <w:sz w:val="20"/>
          <w:szCs w:val="20"/>
        </w:rPr>
        <w:t xml:space="preserve">common etymology </w:t>
      </w:r>
      <w:r>
        <w:rPr>
          <w:sz w:val="20"/>
          <w:szCs w:val="20"/>
        </w:rPr>
        <w:t xml:space="preserve">of </w:t>
      </w:r>
      <w:r>
        <w:rPr>
          <w:i/>
          <w:sz w:val="20"/>
          <w:szCs w:val="20"/>
        </w:rPr>
        <w:t>t</w:t>
      </w:r>
      <w:r w:rsidRPr="00744C29">
        <w:rPr>
          <w:i/>
          <w:sz w:val="20"/>
          <w:szCs w:val="20"/>
        </w:rPr>
        <w:t>empus</w:t>
      </w:r>
      <w:r>
        <w:rPr>
          <w:sz w:val="20"/>
          <w:szCs w:val="20"/>
        </w:rPr>
        <w:t xml:space="preserve"> and </w:t>
      </w:r>
      <w:r w:rsidRPr="00744C29">
        <w:rPr>
          <w:i/>
          <w:sz w:val="20"/>
          <w:szCs w:val="20"/>
        </w:rPr>
        <w:t>templum</w:t>
      </w:r>
      <w:r w:rsidRPr="00B53E31">
        <w:rPr>
          <w:sz w:val="20"/>
          <w:szCs w:val="20"/>
        </w:rPr>
        <w:t xml:space="preserve"> </w:t>
      </w:r>
      <w:r>
        <w:rPr>
          <w:sz w:val="20"/>
          <w:szCs w:val="20"/>
        </w:rPr>
        <w:t xml:space="preserve">is probably </w:t>
      </w:r>
      <w:r w:rsidRPr="00B53E31">
        <w:rPr>
          <w:sz w:val="20"/>
          <w:szCs w:val="20"/>
        </w:rPr>
        <w:t xml:space="preserve">the Indo-European root </w:t>
      </w:r>
      <w:r w:rsidRPr="00B53E31">
        <w:rPr>
          <w:i/>
          <w:sz w:val="20"/>
          <w:szCs w:val="20"/>
        </w:rPr>
        <w:t>tem</w:t>
      </w:r>
      <w:r>
        <w:rPr>
          <w:sz w:val="20"/>
          <w:szCs w:val="20"/>
        </w:rPr>
        <w:t xml:space="preserve">, whence the ancient Greek verb </w:t>
      </w:r>
      <w:r w:rsidRPr="00B53E31">
        <w:rPr>
          <w:i/>
          <w:sz w:val="20"/>
          <w:szCs w:val="20"/>
        </w:rPr>
        <w:t>temno</w:t>
      </w:r>
      <w:r>
        <w:rPr>
          <w:sz w:val="20"/>
          <w:szCs w:val="20"/>
        </w:rPr>
        <w:t>, ‘to cut’, and</w:t>
      </w:r>
      <w:r w:rsidRPr="00B53E31">
        <w:rPr>
          <w:sz w:val="20"/>
          <w:szCs w:val="20"/>
        </w:rPr>
        <w:t xml:space="preserve"> </w:t>
      </w:r>
      <w:r>
        <w:rPr>
          <w:sz w:val="20"/>
          <w:szCs w:val="20"/>
        </w:rPr>
        <w:t xml:space="preserve">the noun </w:t>
      </w:r>
      <w:r w:rsidRPr="00B53E31">
        <w:rPr>
          <w:i/>
          <w:sz w:val="20"/>
          <w:szCs w:val="20"/>
        </w:rPr>
        <w:t>temenos</w:t>
      </w:r>
      <w:r>
        <w:rPr>
          <w:sz w:val="20"/>
          <w:szCs w:val="20"/>
        </w:rPr>
        <w:t xml:space="preserve">, ‘sacred compound’, </w:t>
      </w:r>
      <w:r w:rsidRPr="00B53E31">
        <w:rPr>
          <w:sz w:val="20"/>
          <w:szCs w:val="20"/>
        </w:rPr>
        <w:t xml:space="preserve">i.e., </w:t>
      </w:r>
      <w:r>
        <w:rPr>
          <w:sz w:val="20"/>
          <w:szCs w:val="20"/>
        </w:rPr>
        <w:t xml:space="preserve">a space ‘set aside’ for rituals (= </w:t>
      </w:r>
      <w:r w:rsidRPr="00B53E31">
        <w:rPr>
          <w:sz w:val="20"/>
          <w:szCs w:val="20"/>
        </w:rPr>
        <w:t xml:space="preserve">Latin </w:t>
      </w:r>
      <w:r w:rsidRPr="004D5C8B">
        <w:rPr>
          <w:i/>
          <w:sz w:val="20"/>
          <w:szCs w:val="20"/>
        </w:rPr>
        <w:t>fanum</w:t>
      </w:r>
      <w:r>
        <w:rPr>
          <w:sz w:val="20"/>
          <w:szCs w:val="20"/>
        </w:rPr>
        <w:t>, whose contrary is</w:t>
      </w:r>
      <w:r w:rsidRPr="00B53E31">
        <w:rPr>
          <w:sz w:val="20"/>
          <w:szCs w:val="20"/>
        </w:rPr>
        <w:t xml:space="preserve"> </w:t>
      </w:r>
      <w:r w:rsidRPr="004D5C8B">
        <w:rPr>
          <w:i/>
          <w:sz w:val="20"/>
          <w:szCs w:val="20"/>
        </w:rPr>
        <w:t>profanum</w:t>
      </w:r>
      <w:r>
        <w:rPr>
          <w:sz w:val="20"/>
          <w:szCs w:val="20"/>
        </w:rPr>
        <w:t>)</w:t>
      </w:r>
      <w:r w:rsidRPr="00B53E31">
        <w:rPr>
          <w:sz w:val="20"/>
          <w:szCs w:val="20"/>
        </w:rPr>
        <w:t xml:space="preserve">.     </w:t>
      </w:r>
    </w:p>
  </w:footnote>
  <w:footnote w:id="14">
    <w:p w14:paraId="3A2855D0" w14:textId="77777777" w:rsidR="002573B3" w:rsidRPr="0033702E" w:rsidRDefault="002573B3" w:rsidP="00506265">
      <w:pPr>
        <w:pStyle w:val="FootnoteText"/>
        <w:rPr>
          <w:sz w:val="20"/>
          <w:szCs w:val="20"/>
          <w:lang w:val="en-US"/>
        </w:rPr>
      </w:pPr>
      <w:r w:rsidRPr="0033702E">
        <w:rPr>
          <w:rStyle w:val="FootnoteReference"/>
          <w:sz w:val="20"/>
          <w:szCs w:val="20"/>
        </w:rPr>
        <w:footnoteRef/>
      </w:r>
      <w:r w:rsidRPr="0033702E">
        <w:rPr>
          <w:sz w:val="20"/>
          <w:szCs w:val="20"/>
        </w:rPr>
        <w:t xml:space="preserve"> Assmann, </w:t>
      </w:r>
      <w:r w:rsidRPr="0033702E">
        <w:rPr>
          <w:i/>
          <w:sz w:val="20"/>
          <w:szCs w:val="20"/>
        </w:rPr>
        <w:t>Price of Monotheism</w:t>
      </w:r>
      <w:r w:rsidRPr="0033702E">
        <w:rPr>
          <w:sz w:val="20"/>
          <w:szCs w:val="20"/>
        </w:rPr>
        <w:t>, 73.</w:t>
      </w:r>
    </w:p>
  </w:footnote>
  <w:footnote w:id="15">
    <w:p w14:paraId="3870CFC6" w14:textId="77777777" w:rsidR="002573B3" w:rsidRPr="00B53E31" w:rsidRDefault="002573B3" w:rsidP="00506265">
      <w:pPr>
        <w:pStyle w:val="FootnoteText"/>
        <w:rPr>
          <w:sz w:val="20"/>
          <w:szCs w:val="20"/>
        </w:rPr>
      </w:pPr>
      <w:r w:rsidRPr="00B53E31">
        <w:rPr>
          <w:rStyle w:val="FootnoteReference"/>
          <w:sz w:val="20"/>
          <w:szCs w:val="20"/>
        </w:rPr>
        <w:footnoteRef/>
      </w:r>
      <w:r>
        <w:rPr>
          <w:sz w:val="20"/>
          <w:szCs w:val="20"/>
        </w:rPr>
        <w:t xml:space="preserve"> Mary M. Brooks, ‘Decay, Conservation and the Making of M</w:t>
      </w:r>
      <w:r w:rsidRPr="00B53E31">
        <w:rPr>
          <w:sz w:val="20"/>
          <w:szCs w:val="20"/>
        </w:rPr>
        <w:t>eaning th</w:t>
      </w:r>
      <w:r>
        <w:rPr>
          <w:sz w:val="20"/>
          <w:szCs w:val="20"/>
        </w:rPr>
        <w:t>rough Museum O</w:t>
      </w:r>
      <w:r w:rsidRPr="00B53E31">
        <w:rPr>
          <w:sz w:val="20"/>
          <w:szCs w:val="20"/>
        </w:rPr>
        <w:t xml:space="preserve">bjects,’ in </w:t>
      </w:r>
      <w:r w:rsidRPr="004D5C8B">
        <w:rPr>
          <w:i/>
          <w:sz w:val="20"/>
          <w:szCs w:val="20"/>
        </w:rPr>
        <w:t>W</w:t>
      </w:r>
      <w:r>
        <w:rPr>
          <w:i/>
          <w:sz w:val="20"/>
          <w:szCs w:val="20"/>
        </w:rPr>
        <w:t>ays of Making and Knowing: The Material Culture of Empirical K</w:t>
      </w:r>
      <w:r w:rsidRPr="004D5C8B">
        <w:rPr>
          <w:i/>
          <w:sz w:val="20"/>
          <w:szCs w:val="20"/>
        </w:rPr>
        <w:t>nowledge</w:t>
      </w:r>
      <w:r w:rsidRPr="00B53E31">
        <w:rPr>
          <w:sz w:val="20"/>
          <w:szCs w:val="20"/>
        </w:rPr>
        <w:t>, ed</w:t>
      </w:r>
      <w:r>
        <w:rPr>
          <w:sz w:val="20"/>
          <w:szCs w:val="20"/>
        </w:rPr>
        <w:t>.</w:t>
      </w:r>
      <w:r w:rsidRPr="00B53E31">
        <w:rPr>
          <w:sz w:val="20"/>
          <w:szCs w:val="20"/>
        </w:rPr>
        <w:t xml:space="preserve"> Pamela H. Smith, Amy R</w:t>
      </w:r>
      <w:r>
        <w:rPr>
          <w:sz w:val="20"/>
          <w:szCs w:val="20"/>
        </w:rPr>
        <w:t xml:space="preserve">. </w:t>
      </w:r>
      <w:r w:rsidRPr="00B53E31">
        <w:rPr>
          <w:sz w:val="20"/>
          <w:szCs w:val="20"/>
        </w:rPr>
        <w:t>W</w:t>
      </w:r>
      <w:r>
        <w:rPr>
          <w:sz w:val="20"/>
          <w:szCs w:val="20"/>
        </w:rPr>
        <w:t>.</w:t>
      </w:r>
      <w:r w:rsidRPr="00B53E31">
        <w:rPr>
          <w:sz w:val="20"/>
          <w:szCs w:val="20"/>
        </w:rPr>
        <w:t xml:space="preserve"> Meyers and Harold J</w:t>
      </w:r>
      <w:r>
        <w:rPr>
          <w:sz w:val="20"/>
          <w:szCs w:val="20"/>
        </w:rPr>
        <w:t>.</w:t>
      </w:r>
      <w:r w:rsidRPr="00B53E31">
        <w:rPr>
          <w:sz w:val="20"/>
          <w:szCs w:val="20"/>
        </w:rPr>
        <w:t xml:space="preserve"> Cook (paperback ed. New York: Bard Graduate Center, 2017): 377-404 [</w:t>
      </w:r>
      <w:r>
        <w:rPr>
          <w:sz w:val="20"/>
          <w:szCs w:val="20"/>
        </w:rPr>
        <w:t xml:space="preserve">quote </w:t>
      </w:r>
      <w:r w:rsidRPr="00B53E31">
        <w:rPr>
          <w:sz w:val="20"/>
          <w:szCs w:val="20"/>
        </w:rPr>
        <w:t xml:space="preserve">386]  </w:t>
      </w:r>
    </w:p>
  </w:footnote>
  <w:footnote w:id="16">
    <w:p w14:paraId="5ADFB625" w14:textId="58A943F2"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This </w:t>
      </w:r>
      <w:r>
        <w:rPr>
          <w:sz w:val="20"/>
          <w:szCs w:val="20"/>
        </w:rPr>
        <w:t xml:space="preserve">suggestive phrase was the </w:t>
      </w:r>
      <w:r w:rsidRPr="00B53E31">
        <w:rPr>
          <w:sz w:val="20"/>
          <w:szCs w:val="20"/>
        </w:rPr>
        <w:t xml:space="preserve">title </w:t>
      </w:r>
      <w:r>
        <w:rPr>
          <w:sz w:val="20"/>
          <w:szCs w:val="20"/>
        </w:rPr>
        <w:t xml:space="preserve">of a 2007 exhibition on traditional </w:t>
      </w:r>
      <w:r w:rsidRPr="00B53E31">
        <w:rPr>
          <w:sz w:val="20"/>
          <w:szCs w:val="20"/>
        </w:rPr>
        <w:t>African</w:t>
      </w:r>
      <w:r>
        <w:rPr>
          <w:sz w:val="20"/>
          <w:szCs w:val="20"/>
        </w:rPr>
        <w:t xml:space="preserve"> methods of restoring artefacts </w:t>
      </w:r>
      <w:r w:rsidRPr="00B53E31">
        <w:rPr>
          <w:sz w:val="20"/>
          <w:szCs w:val="20"/>
        </w:rPr>
        <w:t>held at the Mus</w:t>
      </w:r>
      <w:r w:rsidRPr="00B53E31">
        <w:rPr>
          <w:rFonts w:ascii="Cambria" w:hAnsi="Cambria"/>
          <w:sz w:val="20"/>
          <w:szCs w:val="20"/>
        </w:rPr>
        <w:t>é</w:t>
      </w:r>
      <w:r w:rsidRPr="00B53E31">
        <w:rPr>
          <w:sz w:val="20"/>
          <w:szCs w:val="20"/>
        </w:rPr>
        <w:t xml:space="preserve">e du Quay Branly, </w:t>
      </w:r>
      <w:r>
        <w:rPr>
          <w:sz w:val="20"/>
          <w:szCs w:val="20"/>
        </w:rPr>
        <w:t>in Paris</w:t>
      </w:r>
      <w:r w:rsidRPr="00B53E31">
        <w:rPr>
          <w:sz w:val="20"/>
          <w:szCs w:val="20"/>
        </w:rPr>
        <w:t xml:space="preserve">. See the exhibition catalogue: </w:t>
      </w:r>
      <w:r w:rsidRPr="0033702E">
        <w:rPr>
          <w:i/>
          <w:sz w:val="20"/>
          <w:szCs w:val="20"/>
        </w:rPr>
        <w:t>Objects bless</w:t>
      </w:r>
      <w:r w:rsidRPr="0033702E">
        <w:rPr>
          <w:rFonts w:ascii="Cambria" w:hAnsi="Cambria"/>
          <w:i/>
          <w:sz w:val="20"/>
          <w:szCs w:val="20"/>
        </w:rPr>
        <w:t>é</w:t>
      </w:r>
      <w:r w:rsidRPr="0033702E">
        <w:rPr>
          <w:i/>
          <w:sz w:val="20"/>
          <w:szCs w:val="20"/>
        </w:rPr>
        <w:t>s. La r</w:t>
      </w:r>
      <w:r w:rsidRPr="0033702E">
        <w:rPr>
          <w:rFonts w:ascii="Cambria" w:hAnsi="Cambria"/>
          <w:i/>
          <w:sz w:val="20"/>
          <w:szCs w:val="20"/>
        </w:rPr>
        <w:t>é</w:t>
      </w:r>
      <w:r w:rsidRPr="0033702E">
        <w:rPr>
          <w:i/>
          <w:sz w:val="20"/>
          <w:szCs w:val="20"/>
        </w:rPr>
        <w:t>paration en Afrique</w:t>
      </w:r>
      <w:r w:rsidRPr="00B53E31">
        <w:rPr>
          <w:sz w:val="20"/>
          <w:szCs w:val="20"/>
        </w:rPr>
        <w:t xml:space="preserve"> (Paris: 5 Continents Editions, 2007).</w:t>
      </w:r>
    </w:p>
  </w:footnote>
  <w:footnote w:id="17">
    <w:p w14:paraId="5A3DDBDE" w14:textId="77777777" w:rsidR="002573B3" w:rsidRPr="00B53E31" w:rsidRDefault="002573B3" w:rsidP="0089240A">
      <w:pPr>
        <w:pStyle w:val="FootnoteText"/>
        <w:rPr>
          <w:sz w:val="20"/>
          <w:szCs w:val="20"/>
        </w:rPr>
      </w:pPr>
      <w:r w:rsidRPr="00B53E31">
        <w:rPr>
          <w:rStyle w:val="FootnoteReference"/>
          <w:sz w:val="20"/>
          <w:szCs w:val="20"/>
        </w:rPr>
        <w:footnoteRef/>
      </w:r>
      <w:r w:rsidRPr="00B53E31">
        <w:rPr>
          <w:sz w:val="20"/>
          <w:szCs w:val="20"/>
        </w:rPr>
        <w:t xml:space="preserve"> Jan Assmann, </w:t>
      </w:r>
      <w:r w:rsidRPr="004D5C8B">
        <w:rPr>
          <w:i/>
          <w:sz w:val="20"/>
          <w:szCs w:val="20"/>
        </w:rPr>
        <w:t>Religion and Cultural Memory</w:t>
      </w:r>
      <w:r w:rsidRPr="00B53E31">
        <w:rPr>
          <w:sz w:val="20"/>
          <w:szCs w:val="20"/>
        </w:rPr>
        <w:t>, trans. Robert Livingstone (Stanford, CA, 2006), 34-44.</w:t>
      </w:r>
    </w:p>
  </w:footnote>
  <w:footnote w:id="18">
    <w:p w14:paraId="535B93C4" w14:textId="77777777" w:rsidR="002573B3" w:rsidRPr="00164725" w:rsidRDefault="002573B3" w:rsidP="00506265">
      <w:pPr>
        <w:pStyle w:val="FootnoteText"/>
        <w:rPr>
          <w:sz w:val="20"/>
          <w:szCs w:val="20"/>
          <w:lang w:val="en-US"/>
        </w:rPr>
      </w:pPr>
      <w:r w:rsidRPr="00164725">
        <w:rPr>
          <w:rStyle w:val="FootnoteReference"/>
          <w:sz w:val="20"/>
          <w:szCs w:val="20"/>
        </w:rPr>
        <w:footnoteRef/>
      </w:r>
      <w:r w:rsidRPr="00164725">
        <w:rPr>
          <w:sz w:val="20"/>
          <w:szCs w:val="20"/>
        </w:rPr>
        <w:t xml:space="preserve"> </w:t>
      </w:r>
      <w:r>
        <w:rPr>
          <w:sz w:val="20"/>
          <w:szCs w:val="20"/>
        </w:rPr>
        <w:t xml:space="preserve">Tzvetan </w:t>
      </w:r>
      <w:r w:rsidRPr="00164725">
        <w:rPr>
          <w:sz w:val="20"/>
          <w:szCs w:val="20"/>
        </w:rPr>
        <w:t xml:space="preserve">Todorov, </w:t>
      </w:r>
      <w:r w:rsidRPr="00C56DBC">
        <w:rPr>
          <w:i/>
          <w:sz w:val="20"/>
          <w:szCs w:val="20"/>
        </w:rPr>
        <w:t>The Conquest of America: The Question of the Other</w:t>
      </w:r>
      <w:r w:rsidRPr="00164725">
        <w:rPr>
          <w:sz w:val="20"/>
          <w:szCs w:val="20"/>
        </w:rPr>
        <w:t xml:space="preserve">, trans. by Richard Howard (New York, 1984), 60.  </w:t>
      </w:r>
    </w:p>
  </w:footnote>
  <w:footnote w:id="19">
    <w:p w14:paraId="7B409660" w14:textId="7387F44C"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Fabio Rambelli and </w:t>
      </w:r>
      <w:r>
        <w:rPr>
          <w:sz w:val="20"/>
          <w:szCs w:val="20"/>
        </w:rPr>
        <w:t xml:space="preserve">Eric </w:t>
      </w:r>
      <w:r w:rsidRPr="00B53E31">
        <w:rPr>
          <w:sz w:val="20"/>
          <w:szCs w:val="20"/>
        </w:rPr>
        <w:t>Reinders</w:t>
      </w:r>
      <w:r>
        <w:rPr>
          <w:sz w:val="20"/>
          <w:szCs w:val="20"/>
        </w:rPr>
        <w:t xml:space="preserve">, </w:t>
      </w:r>
      <w:r w:rsidRPr="004B317D">
        <w:rPr>
          <w:i/>
          <w:sz w:val="20"/>
          <w:szCs w:val="20"/>
        </w:rPr>
        <w:t>Buddhism and Iconoclasm in East Asia: A History</w:t>
      </w:r>
      <w:r>
        <w:rPr>
          <w:sz w:val="20"/>
          <w:szCs w:val="20"/>
        </w:rPr>
        <w:t xml:space="preserve"> (London, 2012). In a similar vein, Assmann writes in </w:t>
      </w:r>
      <w:r w:rsidRPr="0033702E">
        <w:rPr>
          <w:i/>
          <w:sz w:val="20"/>
          <w:szCs w:val="20"/>
        </w:rPr>
        <w:t>Price of Monotheism</w:t>
      </w:r>
      <w:r>
        <w:rPr>
          <w:sz w:val="20"/>
          <w:szCs w:val="20"/>
        </w:rPr>
        <w:t xml:space="preserve"> (70), ‘Iconoclasm is tantamount to theoclasm: the gods are to be smashed together with the images in which they are worshipped’.   </w:t>
      </w:r>
    </w:p>
  </w:footnote>
  <w:footnote w:id="20">
    <w:p w14:paraId="77D5C859" w14:textId="77777777"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Moshe Barash</w:t>
      </w:r>
      <w:r>
        <w:rPr>
          <w:sz w:val="20"/>
          <w:szCs w:val="20"/>
        </w:rPr>
        <w:t xml:space="preserve">, </w:t>
      </w:r>
      <w:r w:rsidRPr="00A7647B">
        <w:rPr>
          <w:i/>
          <w:sz w:val="20"/>
          <w:szCs w:val="20"/>
        </w:rPr>
        <w:t>Icon: Studies in the History of an Idea</w:t>
      </w:r>
      <w:r>
        <w:rPr>
          <w:sz w:val="20"/>
          <w:szCs w:val="20"/>
        </w:rPr>
        <w:t xml:space="preserve"> (New York, 1992), </w:t>
      </w:r>
      <w:r w:rsidRPr="00B53E31">
        <w:rPr>
          <w:sz w:val="20"/>
          <w:szCs w:val="20"/>
        </w:rPr>
        <w:t>3</w:t>
      </w:r>
      <w:r>
        <w:rPr>
          <w:sz w:val="20"/>
          <w:szCs w:val="20"/>
        </w:rPr>
        <w:t>.</w:t>
      </w:r>
    </w:p>
  </w:footnote>
  <w:footnote w:id="21">
    <w:p w14:paraId="5F73F8B0" w14:textId="77777777" w:rsidR="002573B3" w:rsidRPr="00B53E31" w:rsidRDefault="002573B3" w:rsidP="00506265">
      <w:pPr>
        <w:pStyle w:val="FootnoteText"/>
        <w:rPr>
          <w:sz w:val="20"/>
          <w:szCs w:val="20"/>
        </w:rPr>
      </w:pPr>
      <w:r w:rsidRPr="00B53E31">
        <w:rPr>
          <w:rStyle w:val="FootnoteReference"/>
          <w:sz w:val="20"/>
          <w:szCs w:val="20"/>
        </w:rPr>
        <w:footnoteRef/>
      </w:r>
      <w:r>
        <w:rPr>
          <w:sz w:val="20"/>
          <w:szCs w:val="20"/>
        </w:rPr>
        <w:t xml:space="preserve"> </w:t>
      </w:r>
      <w:r w:rsidRPr="00B53E31">
        <w:rPr>
          <w:sz w:val="20"/>
          <w:szCs w:val="20"/>
        </w:rPr>
        <w:t xml:space="preserve">David Freedberg, </w:t>
      </w:r>
      <w:r w:rsidRPr="00A7647B">
        <w:rPr>
          <w:i/>
          <w:sz w:val="20"/>
          <w:szCs w:val="20"/>
        </w:rPr>
        <w:t>The Power of Images</w:t>
      </w:r>
      <w:r>
        <w:rPr>
          <w:i/>
          <w:sz w:val="20"/>
          <w:szCs w:val="20"/>
        </w:rPr>
        <w:t xml:space="preserve">: Studies in the History and Theory of Response </w:t>
      </w:r>
      <w:r>
        <w:rPr>
          <w:sz w:val="20"/>
          <w:szCs w:val="20"/>
        </w:rPr>
        <w:t xml:space="preserve">(Chicago, 1989), </w:t>
      </w:r>
      <w:r w:rsidRPr="00B53E31">
        <w:rPr>
          <w:sz w:val="20"/>
          <w:szCs w:val="20"/>
        </w:rPr>
        <w:t>413</w:t>
      </w:r>
      <w:r>
        <w:rPr>
          <w:sz w:val="20"/>
          <w:szCs w:val="20"/>
        </w:rPr>
        <w:t>.</w:t>
      </w:r>
    </w:p>
  </w:footnote>
  <w:footnote w:id="22">
    <w:p w14:paraId="7F18699A" w14:textId="708F95D1" w:rsidR="002573B3" w:rsidRPr="00A02280" w:rsidRDefault="002573B3" w:rsidP="00506265">
      <w:pPr>
        <w:pStyle w:val="FootnoteText"/>
        <w:rPr>
          <w:lang w:val="en-US"/>
        </w:rPr>
      </w:pPr>
      <w:r w:rsidRPr="00205AD7">
        <w:rPr>
          <w:rStyle w:val="FootnoteReference"/>
          <w:sz w:val="20"/>
          <w:szCs w:val="20"/>
        </w:rPr>
        <w:footnoteRef/>
      </w:r>
      <w:r>
        <w:t xml:space="preserve"> </w:t>
      </w:r>
      <w:r>
        <w:rPr>
          <w:sz w:val="20"/>
          <w:szCs w:val="20"/>
        </w:rPr>
        <w:t xml:space="preserve">Jas lsner, </w:t>
      </w:r>
      <w:r w:rsidRPr="00A7647B">
        <w:rPr>
          <w:i/>
          <w:sz w:val="20"/>
          <w:szCs w:val="20"/>
        </w:rPr>
        <w:t>Art and the Roma</w:t>
      </w:r>
      <w:r>
        <w:rPr>
          <w:i/>
          <w:sz w:val="20"/>
          <w:szCs w:val="20"/>
        </w:rPr>
        <w:t>n</w:t>
      </w:r>
      <w:r w:rsidRPr="00A7647B">
        <w:rPr>
          <w:i/>
          <w:sz w:val="20"/>
          <w:szCs w:val="20"/>
        </w:rPr>
        <w:t xml:space="preserve"> Viewer</w:t>
      </w:r>
      <w:r>
        <w:rPr>
          <w:sz w:val="20"/>
          <w:szCs w:val="20"/>
        </w:rPr>
        <w:t xml:space="preserve"> (Cambridge, 1995), 167-172, 348n15, 349n25.</w:t>
      </w:r>
    </w:p>
  </w:footnote>
  <w:footnote w:id="23">
    <w:p w14:paraId="669827D6" w14:textId="77777777" w:rsidR="002573B3" w:rsidRPr="00B53E31" w:rsidRDefault="002573B3" w:rsidP="00506265">
      <w:pPr>
        <w:pStyle w:val="FootnoteText"/>
        <w:rPr>
          <w:sz w:val="20"/>
          <w:szCs w:val="20"/>
        </w:rPr>
      </w:pPr>
      <w:r w:rsidRPr="00B53E31">
        <w:rPr>
          <w:rStyle w:val="FootnoteReference"/>
          <w:sz w:val="20"/>
          <w:szCs w:val="20"/>
        </w:rPr>
        <w:footnoteRef/>
      </w:r>
      <w:r w:rsidRPr="00B53E31">
        <w:rPr>
          <w:sz w:val="20"/>
          <w:szCs w:val="20"/>
        </w:rPr>
        <w:t xml:space="preserve"> Giuseppe La Monica, </w:t>
      </w:r>
      <w:r w:rsidRPr="004D5C8B">
        <w:rPr>
          <w:i/>
          <w:sz w:val="20"/>
          <w:szCs w:val="20"/>
        </w:rPr>
        <w:t>Ideologie e prassi del restauro</w:t>
      </w:r>
      <w:r w:rsidRPr="00B53E31">
        <w:rPr>
          <w:sz w:val="20"/>
          <w:szCs w:val="20"/>
        </w:rPr>
        <w:t xml:space="preserve"> (Palermo: Edizioni della Nuova Presen</w:t>
      </w:r>
      <w:r>
        <w:rPr>
          <w:sz w:val="20"/>
          <w:szCs w:val="20"/>
        </w:rPr>
        <w:t xml:space="preserve">za, 1974), </w:t>
      </w:r>
      <w:r w:rsidRPr="00B53E31">
        <w:rPr>
          <w:sz w:val="20"/>
          <w:szCs w:val="20"/>
        </w:rPr>
        <w:t xml:space="preserve">xxiv. </w:t>
      </w:r>
    </w:p>
  </w:footnote>
  <w:footnote w:id="24">
    <w:p w14:paraId="763D3659" w14:textId="77777777" w:rsidR="002573B3" w:rsidRPr="00205AD7" w:rsidRDefault="002573B3" w:rsidP="00506265">
      <w:pPr>
        <w:pStyle w:val="FootnoteText"/>
        <w:rPr>
          <w:lang w:val="en-US"/>
        </w:rPr>
      </w:pPr>
      <w:r w:rsidRPr="00205AD7">
        <w:rPr>
          <w:rStyle w:val="FootnoteReference"/>
          <w:sz w:val="20"/>
          <w:szCs w:val="20"/>
        </w:rPr>
        <w:footnoteRef/>
      </w:r>
      <w:r w:rsidRPr="00205AD7">
        <w:rPr>
          <w:sz w:val="20"/>
          <w:szCs w:val="20"/>
        </w:rPr>
        <w:t xml:space="preserve"> </w:t>
      </w:r>
      <w:r w:rsidRPr="00B53E31">
        <w:rPr>
          <w:sz w:val="20"/>
          <w:szCs w:val="20"/>
        </w:rPr>
        <w:t>Rambelli and Reinders</w:t>
      </w:r>
      <w:r>
        <w:rPr>
          <w:sz w:val="20"/>
          <w:szCs w:val="20"/>
        </w:rPr>
        <w:t xml:space="preserve">, </w:t>
      </w:r>
      <w:r w:rsidRPr="004B317D">
        <w:rPr>
          <w:i/>
          <w:sz w:val="20"/>
          <w:szCs w:val="20"/>
        </w:rPr>
        <w:t>Buddhism and Iconoclasm in East Asia</w:t>
      </w:r>
      <w:r>
        <w:rPr>
          <w:sz w:val="20"/>
          <w:szCs w:val="20"/>
        </w:rPr>
        <w:t>, ix-x.</w:t>
      </w:r>
    </w:p>
  </w:footnote>
  <w:footnote w:id="25">
    <w:p w14:paraId="6E3CAA39" w14:textId="77777777" w:rsidR="002573B3" w:rsidRPr="00CF393E" w:rsidRDefault="002573B3" w:rsidP="00506265">
      <w:pPr>
        <w:pStyle w:val="FootnoteText"/>
        <w:rPr>
          <w:sz w:val="20"/>
          <w:szCs w:val="20"/>
          <w:lang w:val="en-US"/>
        </w:rPr>
      </w:pPr>
      <w:r w:rsidRPr="00CF393E">
        <w:rPr>
          <w:rStyle w:val="FootnoteReference"/>
          <w:sz w:val="20"/>
          <w:szCs w:val="20"/>
        </w:rPr>
        <w:footnoteRef/>
      </w:r>
      <w:r w:rsidRPr="00CF393E">
        <w:rPr>
          <w:sz w:val="20"/>
          <w:szCs w:val="20"/>
        </w:rPr>
        <w:t xml:space="preserve"> </w:t>
      </w:r>
      <w:r>
        <w:rPr>
          <w:sz w:val="20"/>
          <w:szCs w:val="20"/>
        </w:rPr>
        <w:t xml:space="preserve">For the early critic who coined the expression, see Kevin </w:t>
      </w:r>
      <w:r w:rsidRPr="00CF393E">
        <w:rPr>
          <w:sz w:val="20"/>
          <w:szCs w:val="20"/>
          <w:lang w:val="en-US"/>
        </w:rPr>
        <w:t xml:space="preserve">Hewinson, </w:t>
      </w:r>
      <w:r w:rsidRPr="003A05B8">
        <w:rPr>
          <w:i/>
          <w:sz w:val="20"/>
          <w:szCs w:val="20"/>
          <w:lang w:val="en-US"/>
        </w:rPr>
        <w:t>The Heritage Industry</w:t>
      </w:r>
      <w:r>
        <w:rPr>
          <w:i/>
          <w:sz w:val="20"/>
          <w:szCs w:val="20"/>
          <w:lang w:val="en-US"/>
        </w:rPr>
        <w:t xml:space="preserve">: Britain in a Climate of Decline </w:t>
      </w:r>
      <w:r>
        <w:rPr>
          <w:sz w:val="20"/>
          <w:szCs w:val="20"/>
          <w:lang w:val="en-US"/>
        </w:rPr>
        <w:t>(London, 1987)</w:t>
      </w:r>
      <w:r>
        <w:rPr>
          <w:sz w:val="20"/>
          <w:szCs w:val="20"/>
        </w:rPr>
        <w:t>.</w:t>
      </w:r>
      <w:r>
        <w:rPr>
          <w:sz w:val="20"/>
          <w:szCs w:val="20"/>
          <w:lang w:val="en-US"/>
        </w:rPr>
        <w:t xml:space="preserve"> </w:t>
      </w:r>
    </w:p>
  </w:footnote>
  <w:footnote w:id="26">
    <w:p w14:paraId="285B3994" w14:textId="77777777" w:rsidR="002573B3" w:rsidRPr="00300A35" w:rsidRDefault="002573B3" w:rsidP="00506265">
      <w:pPr>
        <w:pStyle w:val="FootnoteText"/>
        <w:rPr>
          <w:sz w:val="20"/>
          <w:szCs w:val="20"/>
          <w:lang w:val="en-US"/>
        </w:rPr>
      </w:pPr>
      <w:r w:rsidRPr="00300A35">
        <w:rPr>
          <w:rStyle w:val="FootnoteReference"/>
          <w:sz w:val="20"/>
          <w:szCs w:val="20"/>
        </w:rPr>
        <w:footnoteRef/>
      </w:r>
      <w:r w:rsidRPr="00300A35">
        <w:rPr>
          <w:sz w:val="20"/>
          <w:szCs w:val="20"/>
        </w:rPr>
        <w:t xml:space="preserve"> Carol Duncan, </w:t>
      </w:r>
      <w:r w:rsidRPr="00300A35">
        <w:rPr>
          <w:i/>
          <w:sz w:val="20"/>
          <w:szCs w:val="20"/>
        </w:rPr>
        <w:t>Civilising Rituals: Inside Public Art Museums</w:t>
      </w:r>
      <w:r>
        <w:rPr>
          <w:sz w:val="20"/>
          <w:szCs w:val="20"/>
        </w:rPr>
        <w:t xml:space="preserve"> (London and New York, 1995): 10, 12</w:t>
      </w:r>
      <w:r w:rsidRPr="00300A35">
        <w:rPr>
          <w:sz w:val="20"/>
          <w:szCs w:val="20"/>
        </w:rPr>
        <w:t xml:space="preserve"> (emphasis added).</w:t>
      </w:r>
    </w:p>
  </w:footnote>
  <w:footnote w:id="27">
    <w:p w14:paraId="4EBCB9C2" w14:textId="33FE54EF" w:rsidR="002573B3" w:rsidRPr="00300A35" w:rsidRDefault="002573B3" w:rsidP="00506265">
      <w:pPr>
        <w:pStyle w:val="FootnoteText"/>
        <w:rPr>
          <w:sz w:val="20"/>
          <w:szCs w:val="20"/>
          <w:lang w:val="en-US"/>
        </w:rPr>
      </w:pPr>
      <w:r w:rsidRPr="00300A35">
        <w:rPr>
          <w:rStyle w:val="FootnoteReference"/>
          <w:sz w:val="20"/>
          <w:szCs w:val="20"/>
        </w:rPr>
        <w:footnoteRef/>
      </w:r>
      <w:r w:rsidRPr="00300A35">
        <w:rPr>
          <w:sz w:val="20"/>
          <w:szCs w:val="20"/>
        </w:rPr>
        <w:t xml:space="preserve"> </w:t>
      </w:r>
      <w:r>
        <w:rPr>
          <w:sz w:val="20"/>
          <w:szCs w:val="20"/>
        </w:rPr>
        <w:t xml:space="preserve">Jas </w:t>
      </w:r>
      <w:r w:rsidRPr="00300A35">
        <w:rPr>
          <w:sz w:val="20"/>
          <w:szCs w:val="20"/>
        </w:rPr>
        <w:t xml:space="preserve">Elsner, ‘Between Mimesis and Divine Power: Visuality in the Greco-Roman World’, in </w:t>
      </w:r>
      <w:r w:rsidRPr="00541C95">
        <w:rPr>
          <w:sz w:val="20"/>
          <w:szCs w:val="20"/>
        </w:rPr>
        <w:t xml:space="preserve">Robert S. Nelson, ed. </w:t>
      </w:r>
      <w:r w:rsidRPr="002C2051">
        <w:rPr>
          <w:i/>
          <w:sz w:val="20"/>
          <w:szCs w:val="20"/>
        </w:rPr>
        <w:t xml:space="preserve">Visuality Before and Beyond the Renaissance: Seeing as Others Saw </w:t>
      </w:r>
      <w:r w:rsidRPr="00541C95">
        <w:rPr>
          <w:sz w:val="20"/>
          <w:szCs w:val="20"/>
        </w:rPr>
        <w:t>(Cambrid</w:t>
      </w:r>
      <w:r>
        <w:rPr>
          <w:sz w:val="20"/>
          <w:szCs w:val="20"/>
        </w:rPr>
        <w:t>ge, 2000), 45-69</w:t>
      </w:r>
      <w:r w:rsidRPr="00300A35">
        <w:rPr>
          <w:sz w:val="20"/>
          <w:szCs w:val="20"/>
        </w:rPr>
        <w:t>.</w:t>
      </w:r>
    </w:p>
  </w:footnote>
  <w:footnote w:id="28">
    <w:p w14:paraId="541F7593" w14:textId="31C869CC" w:rsidR="002573B3" w:rsidRPr="00541C95" w:rsidRDefault="002573B3" w:rsidP="00502941">
      <w:pPr>
        <w:pStyle w:val="FootnoteText"/>
        <w:rPr>
          <w:sz w:val="20"/>
          <w:szCs w:val="20"/>
          <w:lang w:val="en-US"/>
        </w:rPr>
      </w:pPr>
      <w:r w:rsidRPr="00541C95">
        <w:rPr>
          <w:rStyle w:val="FootnoteReference"/>
          <w:sz w:val="20"/>
          <w:szCs w:val="20"/>
        </w:rPr>
        <w:footnoteRef/>
      </w:r>
      <w:r>
        <w:rPr>
          <w:sz w:val="20"/>
          <w:szCs w:val="20"/>
        </w:rPr>
        <w:t xml:space="preserve"> Besides Elsner, notes 22 and 27 above, see Jas Elsner, ed., </w:t>
      </w:r>
      <w:r w:rsidRPr="00EB1864">
        <w:rPr>
          <w:i/>
          <w:sz w:val="20"/>
          <w:szCs w:val="20"/>
        </w:rPr>
        <w:t>Art and Text in Roman Culture</w:t>
      </w:r>
      <w:r>
        <w:rPr>
          <w:sz w:val="20"/>
          <w:szCs w:val="20"/>
        </w:rPr>
        <w:t xml:space="preserve"> (Cambridge, 1996).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CEF"/>
    <w:multiLevelType w:val="hybridMultilevel"/>
    <w:tmpl w:val="CFC2DC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293"/>
    <w:multiLevelType w:val="hybridMultilevel"/>
    <w:tmpl w:val="8CA2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639BD"/>
    <w:multiLevelType w:val="multilevel"/>
    <w:tmpl w:val="1D883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B170E4A"/>
    <w:multiLevelType w:val="multilevel"/>
    <w:tmpl w:val="1D883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D866B1C"/>
    <w:multiLevelType w:val="multilevel"/>
    <w:tmpl w:val="1D883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709B41F5"/>
    <w:multiLevelType w:val="multilevel"/>
    <w:tmpl w:val="1D883B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29F1255"/>
    <w:multiLevelType w:val="hybridMultilevel"/>
    <w:tmpl w:val="76D8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C56FE"/>
    <w:multiLevelType w:val="hybridMultilevel"/>
    <w:tmpl w:val="8CA2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65"/>
    <w:rsid w:val="00042FD1"/>
    <w:rsid w:val="000A6809"/>
    <w:rsid w:val="000B55D5"/>
    <w:rsid w:val="000C25E1"/>
    <w:rsid w:val="000F0B6C"/>
    <w:rsid w:val="0016764F"/>
    <w:rsid w:val="001A1102"/>
    <w:rsid w:val="001A7265"/>
    <w:rsid w:val="002126AB"/>
    <w:rsid w:val="002573B3"/>
    <w:rsid w:val="002966B5"/>
    <w:rsid w:val="002C49FD"/>
    <w:rsid w:val="004C0C30"/>
    <w:rsid w:val="00502941"/>
    <w:rsid w:val="00506265"/>
    <w:rsid w:val="00543E34"/>
    <w:rsid w:val="0056268D"/>
    <w:rsid w:val="005774BC"/>
    <w:rsid w:val="005B4834"/>
    <w:rsid w:val="005D4A69"/>
    <w:rsid w:val="005E4EB8"/>
    <w:rsid w:val="00607B4A"/>
    <w:rsid w:val="00637DFB"/>
    <w:rsid w:val="00706745"/>
    <w:rsid w:val="00717150"/>
    <w:rsid w:val="007F3405"/>
    <w:rsid w:val="0089240A"/>
    <w:rsid w:val="00903644"/>
    <w:rsid w:val="00953930"/>
    <w:rsid w:val="009A3E26"/>
    <w:rsid w:val="009C15D4"/>
    <w:rsid w:val="009E1423"/>
    <w:rsid w:val="00A14556"/>
    <w:rsid w:val="00A2662E"/>
    <w:rsid w:val="00AA6AC1"/>
    <w:rsid w:val="00AD4906"/>
    <w:rsid w:val="00B10ACF"/>
    <w:rsid w:val="00B51247"/>
    <w:rsid w:val="00BA3349"/>
    <w:rsid w:val="00BD50BC"/>
    <w:rsid w:val="00C25B52"/>
    <w:rsid w:val="00C753D7"/>
    <w:rsid w:val="00C8352F"/>
    <w:rsid w:val="00CB3D3B"/>
    <w:rsid w:val="00CC005E"/>
    <w:rsid w:val="00D364D0"/>
    <w:rsid w:val="00D61A91"/>
    <w:rsid w:val="00DC2FBA"/>
    <w:rsid w:val="00DD4E94"/>
    <w:rsid w:val="00E57791"/>
    <w:rsid w:val="00EA07DB"/>
    <w:rsid w:val="00F11DD5"/>
    <w:rsid w:val="00F22FB5"/>
    <w:rsid w:val="00FA76EF"/>
    <w:rsid w:val="00FB5F53"/>
    <w:rsid w:val="00FC7704"/>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31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65"/>
    <w:pPr>
      <w:ind w:left="720"/>
      <w:contextualSpacing/>
    </w:pPr>
  </w:style>
  <w:style w:type="paragraph" w:styleId="FootnoteText">
    <w:name w:val="footnote text"/>
    <w:basedOn w:val="Normal"/>
    <w:link w:val="FootnoteTextChar"/>
    <w:uiPriority w:val="99"/>
    <w:unhideWhenUsed/>
    <w:rsid w:val="00506265"/>
  </w:style>
  <w:style w:type="character" w:customStyle="1" w:styleId="FootnoteTextChar">
    <w:name w:val="Footnote Text Char"/>
    <w:basedOn w:val="DefaultParagraphFont"/>
    <w:link w:val="FootnoteText"/>
    <w:uiPriority w:val="99"/>
    <w:rsid w:val="00506265"/>
    <w:rPr>
      <w:lang w:val="en-GB"/>
    </w:rPr>
  </w:style>
  <w:style w:type="character" w:styleId="FootnoteReference">
    <w:name w:val="footnote reference"/>
    <w:basedOn w:val="DefaultParagraphFont"/>
    <w:uiPriority w:val="99"/>
    <w:unhideWhenUsed/>
    <w:rsid w:val="00506265"/>
    <w:rPr>
      <w:vertAlign w:val="superscript"/>
    </w:rPr>
  </w:style>
  <w:style w:type="paragraph" w:styleId="EndnoteText">
    <w:name w:val="endnote text"/>
    <w:basedOn w:val="Normal"/>
    <w:link w:val="EndnoteTextChar"/>
    <w:uiPriority w:val="99"/>
    <w:unhideWhenUsed/>
    <w:rsid w:val="00506265"/>
  </w:style>
  <w:style w:type="character" w:customStyle="1" w:styleId="EndnoteTextChar">
    <w:name w:val="Endnote Text Char"/>
    <w:basedOn w:val="DefaultParagraphFont"/>
    <w:link w:val="EndnoteText"/>
    <w:uiPriority w:val="99"/>
    <w:rsid w:val="00506265"/>
    <w:rPr>
      <w:lang w:val="en-GB"/>
    </w:rPr>
  </w:style>
  <w:style w:type="character" w:styleId="EndnoteReference">
    <w:name w:val="endnote reference"/>
    <w:basedOn w:val="DefaultParagraphFont"/>
    <w:uiPriority w:val="99"/>
    <w:unhideWhenUsed/>
    <w:rsid w:val="00506265"/>
    <w:rPr>
      <w:vertAlign w:val="superscript"/>
    </w:rPr>
  </w:style>
  <w:style w:type="paragraph" w:styleId="BodyText">
    <w:name w:val="Body Text"/>
    <w:basedOn w:val="Normal"/>
    <w:link w:val="BodyTextChar"/>
    <w:rsid w:val="00506265"/>
    <w:pPr>
      <w:spacing w:after="120"/>
    </w:pPr>
    <w:rPr>
      <w:rFonts w:ascii="Times New Roman" w:eastAsia="新細明體" w:hAnsi="Times New Roman" w:cs="Times New Roman"/>
    </w:rPr>
  </w:style>
  <w:style w:type="character" w:customStyle="1" w:styleId="BodyTextChar">
    <w:name w:val="Body Text Char"/>
    <w:basedOn w:val="DefaultParagraphFont"/>
    <w:link w:val="BodyText"/>
    <w:rsid w:val="00506265"/>
    <w:rPr>
      <w:rFonts w:ascii="Times New Roman" w:eastAsia="新細明體" w:hAnsi="Times New Roman" w:cs="Times New Roman"/>
      <w:lang w:val="en-GB"/>
    </w:rPr>
  </w:style>
  <w:style w:type="paragraph" w:customStyle="1" w:styleId="Objective">
    <w:name w:val="Objective"/>
    <w:basedOn w:val="Normal"/>
    <w:next w:val="BodyText"/>
    <w:rsid w:val="00506265"/>
    <w:pPr>
      <w:spacing w:before="240" w:after="220" w:line="220" w:lineRule="atLeast"/>
    </w:pPr>
    <w:rPr>
      <w:rFonts w:ascii="Arial" w:eastAsia="新細明體" w:hAnsi="Arial" w:cs="Times New Roman"/>
      <w:sz w:val="20"/>
      <w:szCs w:val="20"/>
    </w:rPr>
  </w:style>
  <w:style w:type="character" w:styleId="Hyperlink">
    <w:name w:val="Hyperlink"/>
    <w:basedOn w:val="DefaultParagraphFont"/>
    <w:uiPriority w:val="99"/>
    <w:unhideWhenUsed/>
    <w:rsid w:val="00506265"/>
    <w:rPr>
      <w:color w:val="0000FF" w:themeColor="hyperlink"/>
      <w:u w:val="single"/>
    </w:rPr>
  </w:style>
  <w:style w:type="paragraph" w:styleId="Footer">
    <w:name w:val="footer"/>
    <w:basedOn w:val="Normal"/>
    <w:link w:val="FooterChar"/>
    <w:uiPriority w:val="99"/>
    <w:unhideWhenUsed/>
    <w:rsid w:val="00506265"/>
    <w:pPr>
      <w:tabs>
        <w:tab w:val="center" w:pos="4320"/>
        <w:tab w:val="right" w:pos="8640"/>
      </w:tabs>
    </w:pPr>
  </w:style>
  <w:style w:type="character" w:customStyle="1" w:styleId="FooterChar">
    <w:name w:val="Footer Char"/>
    <w:basedOn w:val="DefaultParagraphFont"/>
    <w:link w:val="Footer"/>
    <w:uiPriority w:val="99"/>
    <w:rsid w:val="00506265"/>
    <w:rPr>
      <w:lang w:val="en-GB"/>
    </w:rPr>
  </w:style>
  <w:style w:type="character" w:styleId="PageNumber">
    <w:name w:val="page number"/>
    <w:basedOn w:val="DefaultParagraphFont"/>
    <w:uiPriority w:val="99"/>
    <w:semiHidden/>
    <w:unhideWhenUsed/>
    <w:rsid w:val="00506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65"/>
    <w:pPr>
      <w:ind w:left="720"/>
      <w:contextualSpacing/>
    </w:pPr>
  </w:style>
  <w:style w:type="paragraph" w:styleId="FootnoteText">
    <w:name w:val="footnote text"/>
    <w:basedOn w:val="Normal"/>
    <w:link w:val="FootnoteTextChar"/>
    <w:uiPriority w:val="99"/>
    <w:unhideWhenUsed/>
    <w:rsid w:val="00506265"/>
  </w:style>
  <w:style w:type="character" w:customStyle="1" w:styleId="FootnoteTextChar">
    <w:name w:val="Footnote Text Char"/>
    <w:basedOn w:val="DefaultParagraphFont"/>
    <w:link w:val="FootnoteText"/>
    <w:uiPriority w:val="99"/>
    <w:rsid w:val="00506265"/>
    <w:rPr>
      <w:lang w:val="en-GB"/>
    </w:rPr>
  </w:style>
  <w:style w:type="character" w:styleId="FootnoteReference">
    <w:name w:val="footnote reference"/>
    <w:basedOn w:val="DefaultParagraphFont"/>
    <w:uiPriority w:val="99"/>
    <w:unhideWhenUsed/>
    <w:rsid w:val="00506265"/>
    <w:rPr>
      <w:vertAlign w:val="superscript"/>
    </w:rPr>
  </w:style>
  <w:style w:type="paragraph" w:styleId="EndnoteText">
    <w:name w:val="endnote text"/>
    <w:basedOn w:val="Normal"/>
    <w:link w:val="EndnoteTextChar"/>
    <w:uiPriority w:val="99"/>
    <w:unhideWhenUsed/>
    <w:rsid w:val="00506265"/>
  </w:style>
  <w:style w:type="character" w:customStyle="1" w:styleId="EndnoteTextChar">
    <w:name w:val="Endnote Text Char"/>
    <w:basedOn w:val="DefaultParagraphFont"/>
    <w:link w:val="EndnoteText"/>
    <w:uiPriority w:val="99"/>
    <w:rsid w:val="00506265"/>
    <w:rPr>
      <w:lang w:val="en-GB"/>
    </w:rPr>
  </w:style>
  <w:style w:type="character" w:styleId="EndnoteReference">
    <w:name w:val="endnote reference"/>
    <w:basedOn w:val="DefaultParagraphFont"/>
    <w:uiPriority w:val="99"/>
    <w:unhideWhenUsed/>
    <w:rsid w:val="00506265"/>
    <w:rPr>
      <w:vertAlign w:val="superscript"/>
    </w:rPr>
  </w:style>
  <w:style w:type="paragraph" w:styleId="BodyText">
    <w:name w:val="Body Text"/>
    <w:basedOn w:val="Normal"/>
    <w:link w:val="BodyTextChar"/>
    <w:rsid w:val="00506265"/>
    <w:pPr>
      <w:spacing w:after="120"/>
    </w:pPr>
    <w:rPr>
      <w:rFonts w:ascii="Times New Roman" w:eastAsia="新細明體" w:hAnsi="Times New Roman" w:cs="Times New Roman"/>
    </w:rPr>
  </w:style>
  <w:style w:type="character" w:customStyle="1" w:styleId="BodyTextChar">
    <w:name w:val="Body Text Char"/>
    <w:basedOn w:val="DefaultParagraphFont"/>
    <w:link w:val="BodyText"/>
    <w:rsid w:val="00506265"/>
    <w:rPr>
      <w:rFonts w:ascii="Times New Roman" w:eastAsia="新細明體" w:hAnsi="Times New Roman" w:cs="Times New Roman"/>
      <w:lang w:val="en-GB"/>
    </w:rPr>
  </w:style>
  <w:style w:type="paragraph" w:customStyle="1" w:styleId="Objective">
    <w:name w:val="Objective"/>
    <w:basedOn w:val="Normal"/>
    <w:next w:val="BodyText"/>
    <w:rsid w:val="00506265"/>
    <w:pPr>
      <w:spacing w:before="240" w:after="220" w:line="220" w:lineRule="atLeast"/>
    </w:pPr>
    <w:rPr>
      <w:rFonts w:ascii="Arial" w:eastAsia="新細明體" w:hAnsi="Arial" w:cs="Times New Roman"/>
      <w:sz w:val="20"/>
      <w:szCs w:val="20"/>
    </w:rPr>
  </w:style>
  <w:style w:type="character" w:styleId="Hyperlink">
    <w:name w:val="Hyperlink"/>
    <w:basedOn w:val="DefaultParagraphFont"/>
    <w:uiPriority w:val="99"/>
    <w:unhideWhenUsed/>
    <w:rsid w:val="00506265"/>
    <w:rPr>
      <w:color w:val="0000FF" w:themeColor="hyperlink"/>
      <w:u w:val="single"/>
    </w:rPr>
  </w:style>
  <w:style w:type="paragraph" w:styleId="Footer">
    <w:name w:val="footer"/>
    <w:basedOn w:val="Normal"/>
    <w:link w:val="FooterChar"/>
    <w:uiPriority w:val="99"/>
    <w:unhideWhenUsed/>
    <w:rsid w:val="00506265"/>
    <w:pPr>
      <w:tabs>
        <w:tab w:val="center" w:pos="4320"/>
        <w:tab w:val="right" w:pos="8640"/>
      </w:tabs>
    </w:pPr>
  </w:style>
  <w:style w:type="character" w:customStyle="1" w:styleId="FooterChar">
    <w:name w:val="Footer Char"/>
    <w:basedOn w:val="DefaultParagraphFont"/>
    <w:link w:val="Footer"/>
    <w:uiPriority w:val="99"/>
    <w:rsid w:val="00506265"/>
    <w:rPr>
      <w:lang w:val="en-GB"/>
    </w:rPr>
  </w:style>
  <w:style w:type="character" w:styleId="PageNumber">
    <w:name w:val="page number"/>
    <w:basedOn w:val="DefaultParagraphFont"/>
    <w:uiPriority w:val="99"/>
    <w:semiHidden/>
    <w:unhideWhenUsed/>
    <w:rsid w:val="0050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3037</Words>
  <Characters>17317</Characters>
  <Application>Microsoft Macintosh Word</Application>
  <DocSecurity>0</DocSecurity>
  <Lines>144</Lines>
  <Paragraphs>40</Paragraphs>
  <ScaleCrop>false</ScaleCrop>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dc:creator>
  <cp:keywords/>
  <dc:description/>
  <cp:lastModifiedBy>nus</cp:lastModifiedBy>
  <cp:revision>29</cp:revision>
  <dcterms:created xsi:type="dcterms:W3CDTF">2019-01-29T00:19:00Z</dcterms:created>
  <dcterms:modified xsi:type="dcterms:W3CDTF">2019-02-06T20:59:00Z</dcterms:modified>
</cp:coreProperties>
</file>